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916" w:rsidRDefault="001F061C" w:rsidP="00F8438A">
      <w:pPr>
        <w:jc w:val="both"/>
        <w:rPr>
          <w:rFonts w:ascii="Times New Roman" w:hAnsi="Times New Roman" w:cs="Times New Roman"/>
          <w:b/>
          <w:sz w:val="24"/>
        </w:rPr>
      </w:pPr>
      <w:r>
        <w:rPr>
          <w:rFonts w:ascii="Times New Roman" w:hAnsi="Times New Roman" w:cs="Times New Roman"/>
          <w:b/>
          <w:sz w:val="24"/>
        </w:rPr>
        <w:t>L</w:t>
      </w:r>
      <w:r w:rsidRPr="001F061C">
        <w:rPr>
          <w:rFonts w:ascii="Times New Roman" w:hAnsi="Times New Roman" w:cs="Times New Roman"/>
          <w:b/>
          <w:sz w:val="24"/>
        </w:rPr>
        <w:t>os jóvenes en el mercado laboral argentino bajo regímenes macroeconóm</w:t>
      </w:r>
      <w:r w:rsidR="00F8438A">
        <w:rPr>
          <w:rFonts w:ascii="Times New Roman" w:hAnsi="Times New Roman" w:cs="Times New Roman"/>
          <w:b/>
          <w:sz w:val="24"/>
        </w:rPr>
        <w:t xml:space="preserve">icos diferentes: neoliberalismo </w:t>
      </w:r>
      <w:r w:rsidRPr="001F061C">
        <w:rPr>
          <w:rFonts w:ascii="Times New Roman" w:hAnsi="Times New Roman" w:cs="Times New Roman"/>
          <w:b/>
          <w:sz w:val="24"/>
        </w:rPr>
        <w:t xml:space="preserve">y </w:t>
      </w:r>
      <w:proofErr w:type="spellStart"/>
      <w:r w:rsidRPr="001F061C">
        <w:rPr>
          <w:rFonts w:ascii="Times New Roman" w:hAnsi="Times New Roman" w:cs="Times New Roman"/>
          <w:b/>
          <w:sz w:val="24"/>
        </w:rPr>
        <w:t>neodesarrollismo</w:t>
      </w:r>
      <w:proofErr w:type="spellEnd"/>
      <w:r w:rsidRPr="001F061C">
        <w:rPr>
          <w:rFonts w:ascii="Times New Roman" w:hAnsi="Times New Roman" w:cs="Times New Roman"/>
          <w:b/>
          <w:sz w:val="24"/>
        </w:rPr>
        <w:t xml:space="preserve"> (1992-2014)</w:t>
      </w:r>
      <w:r w:rsidR="00417916">
        <w:rPr>
          <w:rStyle w:val="Refdenotaalpie"/>
          <w:rFonts w:ascii="Times New Roman" w:hAnsi="Times New Roman" w:cs="Times New Roman"/>
          <w:b/>
          <w:sz w:val="24"/>
        </w:rPr>
        <w:footnoteReference w:id="1"/>
      </w:r>
    </w:p>
    <w:p w:rsidR="004952C0" w:rsidRPr="004952C0" w:rsidRDefault="004952C0" w:rsidP="004952C0">
      <w:pPr>
        <w:jc w:val="both"/>
        <w:rPr>
          <w:rFonts w:ascii="Times New Roman" w:hAnsi="Times New Roman" w:cs="Times New Roman"/>
          <w:b/>
          <w:i/>
          <w:sz w:val="24"/>
          <w:lang w:val="en-US"/>
        </w:rPr>
      </w:pPr>
      <w:r w:rsidRPr="004952C0">
        <w:rPr>
          <w:rFonts w:ascii="Times New Roman" w:hAnsi="Times New Roman" w:cs="Times New Roman"/>
          <w:b/>
          <w:i/>
          <w:sz w:val="24"/>
          <w:lang w:val="en-US"/>
        </w:rPr>
        <w:t xml:space="preserve">Young people in the </w:t>
      </w:r>
      <w:proofErr w:type="spellStart"/>
      <w:proofErr w:type="gramStart"/>
      <w:r>
        <w:rPr>
          <w:rFonts w:ascii="Times New Roman" w:hAnsi="Times New Roman" w:cs="Times New Roman"/>
          <w:b/>
          <w:i/>
          <w:sz w:val="24"/>
          <w:lang w:val="en-US"/>
        </w:rPr>
        <w:t>a</w:t>
      </w:r>
      <w:r w:rsidRPr="004952C0">
        <w:rPr>
          <w:rFonts w:ascii="Times New Roman" w:hAnsi="Times New Roman" w:cs="Times New Roman"/>
          <w:b/>
          <w:i/>
          <w:sz w:val="24"/>
          <w:lang w:val="en-US"/>
        </w:rPr>
        <w:t>rgentinian</w:t>
      </w:r>
      <w:proofErr w:type="spellEnd"/>
      <w:proofErr w:type="gramEnd"/>
      <w:r w:rsidRPr="004952C0">
        <w:rPr>
          <w:rFonts w:ascii="Times New Roman" w:hAnsi="Times New Roman" w:cs="Times New Roman"/>
          <w:b/>
          <w:i/>
          <w:sz w:val="24"/>
          <w:lang w:val="en-US"/>
        </w:rPr>
        <w:t xml:space="preserve"> labor market under different macroeconomic regimes: ne</w:t>
      </w:r>
      <w:r>
        <w:rPr>
          <w:rFonts w:ascii="Times New Roman" w:hAnsi="Times New Roman" w:cs="Times New Roman"/>
          <w:b/>
          <w:i/>
          <w:sz w:val="24"/>
          <w:lang w:val="en-US"/>
        </w:rPr>
        <w:t>oliberalism and</w:t>
      </w:r>
      <w:r w:rsidRPr="00B3022F">
        <w:rPr>
          <w:rFonts w:ascii="Times New Roman" w:hAnsi="Times New Roman" w:cs="Times New Roman"/>
          <w:b/>
          <w:i/>
          <w:sz w:val="24"/>
          <w:lang w:val="en-US"/>
        </w:rPr>
        <w:t xml:space="preserve"> </w:t>
      </w:r>
      <w:proofErr w:type="spellStart"/>
      <w:r w:rsidRPr="00B3022F">
        <w:rPr>
          <w:rFonts w:ascii="Times New Roman" w:hAnsi="Times New Roman" w:cs="Times New Roman"/>
          <w:b/>
          <w:i/>
          <w:sz w:val="24"/>
          <w:lang w:val="en-US"/>
        </w:rPr>
        <w:t>neo</w:t>
      </w:r>
      <w:r w:rsidR="00B3022F" w:rsidRPr="00B3022F">
        <w:rPr>
          <w:rFonts w:ascii="Times New Roman" w:hAnsi="Times New Roman" w:cs="Times New Roman"/>
          <w:b/>
          <w:i/>
          <w:sz w:val="24"/>
          <w:lang w:val="en-US"/>
        </w:rPr>
        <w:t>developmentalism</w:t>
      </w:r>
      <w:proofErr w:type="spellEnd"/>
      <w:r w:rsidRPr="00B3022F">
        <w:rPr>
          <w:rFonts w:ascii="Times New Roman" w:hAnsi="Times New Roman" w:cs="Times New Roman"/>
          <w:b/>
          <w:i/>
          <w:sz w:val="24"/>
          <w:lang w:val="en-US"/>
        </w:rPr>
        <w:t xml:space="preserve"> </w:t>
      </w:r>
      <w:r w:rsidRPr="004952C0">
        <w:rPr>
          <w:rFonts w:ascii="Times New Roman" w:hAnsi="Times New Roman" w:cs="Times New Roman"/>
          <w:b/>
          <w:i/>
          <w:sz w:val="24"/>
          <w:lang w:val="en-US"/>
        </w:rPr>
        <w:t>(1992-2014)</w:t>
      </w:r>
    </w:p>
    <w:p w:rsidR="00040869" w:rsidRDefault="00040869" w:rsidP="00F8438A">
      <w:pPr>
        <w:jc w:val="both"/>
        <w:rPr>
          <w:rFonts w:ascii="Times New Roman" w:hAnsi="Times New Roman" w:cs="Times New Roman"/>
          <w:b/>
          <w:sz w:val="24"/>
          <w:lang w:val="en-US"/>
        </w:rPr>
      </w:pPr>
    </w:p>
    <w:p w:rsidR="00234FBF" w:rsidRPr="00876B94" w:rsidRDefault="004568E0" w:rsidP="00F8438A">
      <w:pPr>
        <w:jc w:val="both"/>
        <w:rPr>
          <w:rFonts w:ascii="Times New Roman" w:hAnsi="Times New Roman" w:cs="Times New Roman"/>
          <w:b/>
          <w:sz w:val="24"/>
        </w:rPr>
      </w:pPr>
      <w:r w:rsidRPr="00876B94">
        <w:rPr>
          <w:rFonts w:ascii="Times New Roman" w:hAnsi="Times New Roman" w:cs="Times New Roman"/>
          <w:b/>
          <w:sz w:val="24"/>
        </w:rPr>
        <w:t>María Berenice Rubio</w:t>
      </w:r>
      <w:r>
        <w:rPr>
          <w:rStyle w:val="Refdenotaalpie"/>
          <w:rFonts w:ascii="Times New Roman" w:hAnsi="Times New Roman" w:cs="Times New Roman"/>
          <w:b/>
          <w:sz w:val="24"/>
        </w:rPr>
        <w:footnoteReference w:id="2"/>
      </w:r>
    </w:p>
    <w:p w:rsidR="004568E0" w:rsidRDefault="004568E0" w:rsidP="00F8438A">
      <w:pPr>
        <w:jc w:val="both"/>
        <w:rPr>
          <w:rFonts w:ascii="Times New Roman" w:hAnsi="Times New Roman" w:cs="Times New Roman"/>
          <w:b/>
          <w:sz w:val="24"/>
        </w:rPr>
      </w:pPr>
      <w:r>
        <w:rPr>
          <w:rFonts w:ascii="Times New Roman" w:hAnsi="Times New Roman" w:cs="Times New Roman"/>
          <w:b/>
          <w:sz w:val="24"/>
        </w:rPr>
        <w:t>Agustín Salvia</w:t>
      </w:r>
      <w:r>
        <w:rPr>
          <w:rStyle w:val="Refdenotaalpie"/>
          <w:rFonts w:ascii="Times New Roman" w:hAnsi="Times New Roman" w:cs="Times New Roman"/>
          <w:b/>
          <w:sz w:val="24"/>
        </w:rPr>
        <w:footnoteReference w:id="3"/>
      </w:r>
    </w:p>
    <w:p w:rsidR="00040869" w:rsidRPr="001838E4" w:rsidRDefault="00040869" w:rsidP="00F8438A">
      <w:pPr>
        <w:jc w:val="both"/>
        <w:rPr>
          <w:rFonts w:ascii="Times New Roman" w:hAnsi="Times New Roman" w:cs="Times New Roman"/>
          <w:b/>
          <w:color w:val="FF0000"/>
          <w:sz w:val="24"/>
        </w:rPr>
      </w:pPr>
    </w:p>
    <w:p w:rsidR="004568E0" w:rsidRPr="0043050B" w:rsidRDefault="00040869" w:rsidP="00F8438A">
      <w:pPr>
        <w:jc w:val="both"/>
        <w:rPr>
          <w:rFonts w:ascii="Times New Roman" w:hAnsi="Times New Roman" w:cs="Times New Roman"/>
          <w:b/>
          <w:sz w:val="24"/>
        </w:rPr>
      </w:pPr>
      <w:r w:rsidRPr="0043050B">
        <w:rPr>
          <w:rFonts w:ascii="Times New Roman" w:hAnsi="Times New Roman" w:cs="Times New Roman"/>
          <w:b/>
          <w:sz w:val="24"/>
        </w:rPr>
        <w:t>Resumen</w:t>
      </w:r>
    </w:p>
    <w:p w:rsidR="006F79D5" w:rsidRPr="00396786" w:rsidRDefault="001F3519" w:rsidP="006F79D5">
      <w:pPr>
        <w:autoSpaceDE w:val="0"/>
        <w:autoSpaceDN w:val="0"/>
        <w:adjustRightInd w:val="0"/>
        <w:spacing w:after="0" w:line="360" w:lineRule="auto"/>
        <w:ind w:firstLine="340"/>
        <w:jc w:val="both"/>
        <w:rPr>
          <w:rFonts w:ascii="Times New Roman" w:hAnsi="Times New Roman" w:cs="Times New Roman"/>
          <w:sz w:val="24"/>
        </w:rPr>
      </w:pPr>
      <w:r w:rsidRPr="00396786">
        <w:rPr>
          <w:rFonts w:ascii="Times New Roman" w:hAnsi="Times New Roman" w:cs="Times New Roman"/>
          <w:sz w:val="24"/>
        </w:rPr>
        <w:t xml:space="preserve">Se presentan </w:t>
      </w:r>
      <w:r w:rsidR="006F79D5" w:rsidRPr="00396786">
        <w:rPr>
          <w:rFonts w:ascii="Times New Roman" w:hAnsi="Times New Roman" w:cs="Times New Roman"/>
          <w:sz w:val="24"/>
        </w:rPr>
        <w:t xml:space="preserve">los primeros avances de un estudio que aborda la problemática de la inserción laboral de los jóvenes argentinos a partir de analizar el comportamiento de las formas sectoriales del empleo, de la segmentación del mercado de trabajo, y de la determinación de los ingresos laborales durante las últimas dos décadas. </w:t>
      </w:r>
    </w:p>
    <w:p w:rsidR="003E328F" w:rsidRPr="009D4505" w:rsidRDefault="008D333F" w:rsidP="009D4505">
      <w:pPr>
        <w:autoSpaceDE w:val="0"/>
        <w:autoSpaceDN w:val="0"/>
        <w:adjustRightInd w:val="0"/>
        <w:spacing w:after="0" w:line="360" w:lineRule="auto"/>
        <w:ind w:firstLine="340"/>
        <w:jc w:val="both"/>
        <w:rPr>
          <w:rFonts w:ascii="Times New Roman" w:hAnsi="Times New Roman" w:cs="Times New Roman"/>
          <w:sz w:val="24"/>
        </w:rPr>
      </w:pPr>
      <w:r w:rsidRPr="00396786">
        <w:rPr>
          <w:rFonts w:ascii="Times New Roman" w:hAnsi="Times New Roman" w:cs="Times New Roman"/>
          <w:sz w:val="24"/>
        </w:rPr>
        <w:t>E</w:t>
      </w:r>
      <w:r w:rsidR="00396786" w:rsidRPr="00396786">
        <w:rPr>
          <w:rFonts w:ascii="Times New Roman" w:hAnsi="Times New Roman" w:cs="Times New Roman"/>
          <w:sz w:val="24"/>
        </w:rPr>
        <w:t>l</w:t>
      </w:r>
      <w:r w:rsidRPr="00396786">
        <w:rPr>
          <w:rFonts w:ascii="Times New Roman" w:hAnsi="Times New Roman" w:cs="Times New Roman"/>
          <w:sz w:val="24"/>
        </w:rPr>
        <w:t xml:space="preserve"> objetivo </w:t>
      </w:r>
      <w:r w:rsidR="00396786" w:rsidRPr="00396786">
        <w:rPr>
          <w:rFonts w:ascii="Times New Roman" w:hAnsi="Times New Roman" w:cs="Times New Roman"/>
          <w:sz w:val="24"/>
        </w:rPr>
        <w:t xml:space="preserve">del artículo </w:t>
      </w:r>
      <w:r w:rsidRPr="00396786">
        <w:rPr>
          <w:rFonts w:ascii="Times New Roman" w:hAnsi="Times New Roman" w:cs="Times New Roman"/>
          <w:sz w:val="24"/>
        </w:rPr>
        <w:t>es</w:t>
      </w:r>
      <w:r w:rsidR="001F3519" w:rsidRPr="00396786">
        <w:rPr>
          <w:rFonts w:ascii="Times New Roman" w:hAnsi="Times New Roman" w:cs="Times New Roman"/>
          <w:sz w:val="24"/>
        </w:rPr>
        <w:t xml:space="preserve"> analizar</w:t>
      </w:r>
      <w:r w:rsidR="006F79D5" w:rsidRPr="00396786">
        <w:rPr>
          <w:rFonts w:ascii="Times New Roman" w:hAnsi="Times New Roman" w:cs="Times New Roman"/>
          <w:sz w:val="24"/>
        </w:rPr>
        <w:t xml:space="preserve"> la evolución de la composición de los empl</w:t>
      </w:r>
      <w:r w:rsidR="00A0177A">
        <w:rPr>
          <w:rFonts w:ascii="Times New Roman" w:hAnsi="Times New Roman" w:cs="Times New Roman"/>
          <w:sz w:val="24"/>
        </w:rPr>
        <w:t xml:space="preserve">eos de la fuerza de trabajo joven </w:t>
      </w:r>
      <w:r w:rsidR="006F79D5" w:rsidRPr="00396786">
        <w:rPr>
          <w:rFonts w:ascii="Times New Roman" w:hAnsi="Times New Roman" w:cs="Times New Roman"/>
          <w:sz w:val="24"/>
        </w:rPr>
        <w:t>bajo distintos regímenes</w:t>
      </w:r>
      <w:r w:rsidRPr="00396786">
        <w:rPr>
          <w:rFonts w:ascii="Times New Roman" w:hAnsi="Times New Roman" w:cs="Times New Roman"/>
          <w:sz w:val="24"/>
        </w:rPr>
        <w:t xml:space="preserve"> macroeconómicos en Argentina</w:t>
      </w:r>
      <w:r w:rsidR="006F79D5" w:rsidRPr="00396786">
        <w:rPr>
          <w:rFonts w:ascii="Times New Roman" w:hAnsi="Times New Roman" w:cs="Times New Roman"/>
          <w:sz w:val="24"/>
        </w:rPr>
        <w:t xml:space="preserve">: el neoliberalismo (1992-1998) y el </w:t>
      </w:r>
      <w:proofErr w:type="spellStart"/>
      <w:r w:rsidR="006F79D5" w:rsidRPr="00396786">
        <w:rPr>
          <w:rFonts w:ascii="Times New Roman" w:hAnsi="Times New Roman" w:cs="Times New Roman"/>
          <w:sz w:val="24"/>
        </w:rPr>
        <w:t>neodesarrollismo</w:t>
      </w:r>
      <w:proofErr w:type="spellEnd"/>
      <w:r w:rsidR="006F79D5" w:rsidRPr="00396786">
        <w:rPr>
          <w:rFonts w:ascii="Times New Roman" w:hAnsi="Times New Roman" w:cs="Times New Roman"/>
          <w:sz w:val="24"/>
        </w:rPr>
        <w:t xml:space="preserve"> (2004-2014), tomando en consideración el periodo de crisis socioeconómi</w:t>
      </w:r>
      <w:r w:rsidRPr="00396786">
        <w:rPr>
          <w:rFonts w:ascii="Times New Roman" w:hAnsi="Times New Roman" w:cs="Times New Roman"/>
          <w:sz w:val="24"/>
        </w:rPr>
        <w:t xml:space="preserve">ca que los separa (2001-2003). </w:t>
      </w:r>
      <w:r w:rsidR="00FD1332">
        <w:rPr>
          <w:rFonts w:ascii="Times New Roman" w:hAnsi="Times New Roman" w:cs="Times New Roman"/>
          <w:sz w:val="24"/>
        </w:rPr>
        <w:t>Con este propósito</w:t>
      </w:r>
      <w:r w:rsidRPr="00396786">
        <w:rPr>
          <w:rFonts w:ascii="Times New Roman" w:hAnsi="Times New Roman" w:cs="Times New Roman"/>
          <w:sz w:val="24"/>
        </w:rPr>
        <w:t xml:space="preserve"> </w:t>
      </w:r>
      <w:r w:rsidR="006F79D5" w:rsidRPr="00396786">
        <w:rPr>
          <w:rFonts w:ascii="Times New Roman" w:hAnsi="Times New Roman" w:cs="Times New Roman"/>
          <w:sz w:val="24"/>
        </w:rPr>
        <w:t xml:space="preserve">se avanzó sobre una estrategia metodológica cuantitativa a partir del procesamiento de los datos provenientes de la </w:t>
      </w:r>
      <w:r w:rsidR="00492461">
        <w:rPr>
          <w:rFonts w:ascii="Times New Roman" w:hAnsi="Times New Roman" w:cs="Times New Roman"/>
          <w:sz w:val="24"/>
        </w:rPr>
        <w:t>Encuesta Permanente de Hogares</w:t>
      </w:r>
      <w:r w:rsidR="006F79D5" w:rsidRPr="00396786">
        <w:rPr>
          <w:rFonts w:ascii="Times New Roman" w:hAnsi="Times New Roman" w:cs="Times New Roman"/>
          <w:sz w:val="24"/>
        </w:rPr>
        <w:t xml:space="preserve"> del INDEC correspondientes a los aglomerados del Gran Buenos Aires para el grupo etario de jóvenes </w:t>
      </w:r>
      <w:r w:rsidR="007D110B">
        <w:rPr>
          <w:rFonts w:ascii="Times New Roman" w:hAnsi="Times New Roman" w:cs="Times New Roman"/>
          <w:sz w:val="24"/>
        </w:rPr>
        <w:t xml:space="preserve">trabajadores </w:t>
      </w:r>
      <w:r w:rsidR="006F79D5" w:rsidRPr="00396786">
        <w:rPr>
          <w:rFonts w:ascii="Times New Roman" w:hAnsi="Times New Roman" w:cs="Times New Roman"/>
          <w:sz w:val="24"/>
        </w:rPr>
        <w:t>de 18 a 29 años.</w:t>
      </w:r>
      <w:r w:rsidR="004F4C30">
        <w:rPr>
          <w:rFonts w:ascii="Times New Roman" w:hAnsi="Times New Roman" w:cs="Times New Roman"/>
          <w:sz w:val="24"/>
        </w:rPr>
        <w:t xml:space="preserve"> Se concluye que en términos </w:t>
      </w:r>
      <w:proofErr w:type="gramStart"/>
      <w:r w:rsidR="004F4C30">
        <w:rPr>
          <w:rFonts w:ascii="Times New Roman" w:hAnsi="Times New Roman" w:cs="Times New Roman"/>
          <w:sz w:val="24"/>
        </w:rPr>
        <w:lastRenderedPageBreak/>
        <w:t>laborales</w:t>
      </w:r>
      <w:proofErr w:type="gramEnd"/>
      <w:r w:rsidR="004F4C30">
        <w:rPr>
          <w:rFonts w:ascii="Times New Roman" w:hAnsi="Times New Roman" w:cs="Times New Roman"/>
          <w:sz w:val="24"/>
        </w:rPr>
        <w:t xml:space="preserve"> los j</w:t>
      </w:r>
      <w:r w:rsidR="00492461">
        <w:rPr>
          <w:rFonts w:ascii="Times New Roman" w:hAnsi="Times New Roman" w:cs="Times New Roman"/>
          <w:sz w:val="24"/>
        </w:rPr>
        <w:t>óvenes</w:t>
      </w:r>
      <w:r w:rsidR="007720D4">
        <w:rPr>
          <w:rFonts w:ascii="Times New Roman" w:hAnsi="Times New Roman" w:cs="Times New Roman"/>
          <w:sz w:val="24"/>
        </w:rPr>
        <w:t xml:space="preserve"> </w:t>
      </w:r>
      <w:r w:rsidR="004F4C30">
        <w:rPr>
          <w:rFonts w:ascii="Times New Roman" w:hAnsi="Times New Roman" w:cs="Times New Roman"/>
          <w:sz w:val="24"/>
        </w:rPr>
        <w:t>se encuentran en una posición desfavorecida, accediendo a empleos de menor calidad y con mayores dificultades para mantenerlos</w:t>
      </w:r>
      <w:r w:rsidR="00492461">
        <w:rPr>
          <w:rFonts w:ascii="Times New Roman" w:hAnsi="Times New Roman" w:cs="Times New Roman"/>
          <w:sz w:val="24"/>
        </w:rPr>
        <w:t>,</w:t>
      </w:r>
      <w:r w:rsidR="004F4C30">
        <w:rPr>
          <w:rFonts w:ascii="Times New Roman" w:hAnsi="Times New Roman" w:cs="Times New Roman"/>
          <w:sz w:val="24"/>
        </w:rPr>
        <w:t xml:space="preserve"> pese a los cambios macroeconómicos progresivos que pudieron haber atravesado durante los últimos años. </w:t>
      </w:r>
    </w:p>
    <w:p w:rsidR="003E328F" w:rsidRPr="009D4505" w:rsidRDefault="006F79D5" w:rsidP="00F8438A">
      <w:pPr>
        <w:jc w:val="both"/>
        <w:rPr>
          <w:rFonts w:ascii="Times New Roman" w:hAnsi="Times New Roman" w:cs="Times New Roman"/>
          <w:sz w:val="24"/>
        </w:rPr>
      </w:pPr>
      <w:r w:rsidRPr="00396786">
        <w:rPr>
          <w:rFonts w:ascii="Times New Roman" w:hAnsi="Times New Roman" w:cs="Times New Roman"/>
          <w:b/>
          <w:sz w:val="24"/>
        </w:rPr>
        <w:t>Palabras claves:</w:t>
      </w:r>
      <w:r w:rsidRPr="00396786">
        <w:rPr>
          <w:rFonts w:ascii="Times New Roman" w:hAnsi="Times New Roman" w:cs="Times New Roman"/>
          <w:sz w:val="24"/>
        </w:rPr>
        <w:t xml:space="preserve"> </w:t>
      </w:r>
      <w:r w:rsidR="00876B94" w:rsidRPr="00396786">
        <w:rPr>
          <w:rFonts w:ascii="Times New Roman" w:hAnsi="Times New Roman" w:cs="Times New Roman"/>
          <w:sz w:val="24"/>
        </w:rPr>
        <w:t>joven</w:t>
      </w:r>
      <w:r w:rsidRPr="00396786">
        <w:rPr>
          <w:rFonts w:ascii="Times New Roman" w:hAnsi="Times New Roman" w:cs="Times New Roman"/>
          <w:sz w:val="24"/>
        </w:rPr>
        <w:t xml:space="preserve"> </w:t>
      </w:r>
      <w:r w:rsidR="00876B94" w:rsidRPr="00396786">
        <w:rPr>
          <w:rFonts w:ascii="Times New Roman" w:hAnsi="Times New Roman" w:cs="Times New Roman"/>
          <w:sz w:val="24"/>
        </w:rPr>
        <w:t>–</w:t>
      </w:r>
      <w:r w:rsidRPr="00396786">
        <w:rPr>
          <w:rFonts w:ascii="Times New Roman" w:hAnsi="Times New Roman" w:cs="Times New Roman"/>
          <w:sz w:val="24"/>
        </w:rPr>
        <w:t xml:space="preserve"> </w:t>
      </w:r>
      <w:r w:rsidR="00876B94" w:rsidRPr="00396786">
        <w:rPr>
          <w:rFonts w:ascii="Times New Roman" w:hAnsi="Times New Roman" w:cs="Times New Roman"/>
          <w:sz w:val="24"/>
        </w:rPr>
        <w:t>mercado de trabajo</w:t>
      </w:r>
      <w:r w:rsidR="00614F87" w:rsidRPr="00396786">
        <w:rPr>
          <w:rFonts w:ascii="Times New Roman" w:hAnsi="Times New Roman" w:cs="Times New Roman"/>
          <w:sz w:val="24"/>
        </w:rPr>
        <w:t xml:space="preserve"> – sistemas económicos</w:t>
      </w:r>
      <w:r w:rsidR="002800B5">
        <w:rPr>
          <w:rFonts w:ascii="Times New Roman" w:hAnsi="Times New Roman" w:cs="Times New Roman"/>
          <w:sz w:val="24"/>
        </w:rPr>
        <w:t>.</w:t>
      </w:r>
    </w:p>
    <w:p w:rsidR="009D4505" w:rsidRPr="009D4505" w:rsidRDefault="009D4505" w:rsidP="00F8438A">
      <w:pPr>
        <w:jc w:val="both"/>
        <w:rPr>
          <w:rFonts w:ascii="Times New Roman" w:hAnsi="Times New Roman" w:cs="Times New Roman"/>
          <w:b/>
          <w:i/>
          <w:color w:val="FF0000"/>
          <w:sz w:val="24"/>
        </w:rPr>
      </w:pPr>
    </w:p>
    <w:p w:rsidR="003E328F" w:rsidRPr="00322CF2" w:rsidRDefault="00040869" w:rsidP="00F8438A">
      <w:pPr>
        <w:jc w:val="both"/>
        <w:rPr>
          <w:rFonts w:ascii="Times New Roman" w:hAnsi="Times New Roman" w:cs="Times New Roman"/>
          <w:b/>
          <w:sz w:val="24"/>
          <w:lang w:val="en-US"/>
        </w:rPr>
      </w:pPr>
      <w:r w:rsidRPr="00322CF2">
        <w:rPr>
          <w:rFonts w:ascii="Times New Roman" w:hAnsi="Times New Roman" w:cs="Times New Roman"/>
          <w:b/>
          <w:sz w:val="24"/>
          <w:lang w:val="en-US"/>
        </w:rPr>
        <w:t>Abstract</w:t>
      </w:r>
      <w:r w:rsidR="00614F87" w:rsidRPr="00322CF2">
        <w:rPr>
          <w:rFonts w:ascii="Times New Roman" w:hAnsi="Times New Roman" w:cs="Times New Roman"/>
          <w:b/>
          <w:sz w:val="24"/>
          <w:lang w:val="en-US"/>
        </w:rPr>
        <w:t>:</w:t>
      </w:r>
    </w:p>
    <w:p w:rsidR="001E3755" w:rsidRPr="00B3022F" w:rsidRDefault="00C54227" w:rsidP="001E3755">
      <w:pPr>
        <w:autoSpaceDE w:val="0"/>
        <w:autoSpaceDN w:val="0"/>
        <w:adjustRightInd w:val="0"/>
        <w:spacing w:after="0" w:line="360" w:lineRule="auto"/>
        <w:ind w:firstLine="340"/>
        <w:jc w:val="both"/>
        <w:rPr>
          <w:rFonts w:ascii="Times New Roman" w:hAnsi="Times New Roman" w:cs="Times New Roman"/>
          <w:sz w:val="24"/>
          <w:lang w:val="en-US"/>
        </w:rPr>
      </w:pPr>
      <w:r w:rsidRPr="00B3022F">
        <w:rPr>
          <w:rFonts w:ascii="Times New Roman" w:hAnsi="Times New Roman" w:cs="Times New Roman"/>
          <w:sz w:val="24"/>
          <w:lang w:val="en-US"/>
        </w:rPr>
        <w:t xml:space="preserve">The </w:t>
      </w:r>
      <w:r w:rsidR="009903A7">
        <w:rPr>
          <w:rFonts w:ascii="Times New Roman" w:hAnsi="Times New Roman" w:cs="Times New Roman"/>
          <w:sz w:val="24"/>
          <w:lang w:val="en-US"/>
        </w:rPr>
        <w:t>study</w:t>
      </w:r>
      <w:r w:rsidRPr="00B3022F">
        <w:rPr>
          <w:rFonts w:ascii="Times New Roman" w:hAnsi="Times New Roman" w:cs="Times New Roman"/>
          <w:sz w:val="24"/>
          <w:lang w:val="en-US"/>
        </w:rPr>
        <w:t xml:space="preserve"> below </w:t>
      </w:r>
      <w:r w:rsidR="00AC709C" w:rsidRPr="00B3022F">
        <w:rPr>
          <w:rFonts w:ascii="Times New Roman" w:hAnsi="Times New Roman" w:cs="Times New Roman"/>
          <w:sz w:val="24"/>
          <w:lang w:val="en-US"/>
        </w:rPr>
        <w:t>presents</w:t>
      </w:r>
      <w:r w:rsidRPr="00B3022F">
        <w:rPr>
          <w:rFonts w:ascii="Times New Roman" w:hAnsi="Times New Roman" w:cs="Times New Roman"/>
          <w:sz w:val="24"/>
          <w:lang w:val="en-US"/>
        </w:rPr>
        <w:t xml:space="preserve"> a first approach about the problematic of the young </w:t>
      </w:r>
      <w:proofErr w:type="spellStart"/>
      <w:proofErr w:type="gramStart"/>
      <w:r w:rsidRPr="00B3022F">
        <w:rPr>
          <w:rFonts w:ascii="Times New Roman" w:hAnsi="Times New Roman" w:cs="Times New Roman"/>
          <w:sz w:val="24"/>
          <w:lang w:val="en-US"/>
        </w:rPr>
        <w:t>argentinian</w:t>
      </w:r>
      <w:proofErr w:type="spellEnd"/>
      <w:proofErr w:type="gramEnd"/>
      <w:r w:rsidR="001E3755" w:rsidRPr="00B3022F">
        <w:rPr>
          <w:rFonts w:ascii="Times New Roman" w:hAnsi="Times New Roman" w:cs="Times New Roman"/>
          <w:sz w:val="24"/>
          <w:lang w:val="en-US"/>
        </w:rPr>
        <w:t xml:space="preserve"> people</w:t>
      </w:r>
      <w:r w:rsidRPr="00B3022F">
        <w:rPr>
          <w:rFonts w:ascii="Times New Roman" w:hAnsi="Times New Roman" w:cs="Times New Roman"/>
          <w:sz w:val="24"/>
          <w:lang w:val="en-US"/>
        </w:rPr>
        <w:t xml:space="preserve"> job placement</w:t>
      </w:r>
      <w:r w:rsidR="001E3755" w:rsidRPr="00B3022F">
        <w:rPr>
          <w:rFonts w:ascii="Times New Roman" w:hAnsi="Times New Roman" w:cs="Times New Roman"/>
          <w:sz w:val="24"/>
          <w:lang w:val="en-US"/>
        </w:rPr>
        <w:t>,</w:t>
      </w:r>
      <w:r w:rsidR="00391B3E" w:rsidRPr="00B3022F">
        <w:rPr>
          <w:rFonts w:ascii="Times New Roman" w:hAnsi="Times New Roman" w:cs="Times New Roman"/>
          <w:sz w:val="24"/>
          <w:lang w:val="en-US"/>
        </w:rPr>
        <w:t xml:space="preserve"> </w:t>
      </w:r>
      <w:r w:rsidR="001E3755" w:rsidRPr="00B3022F">
        <w:rPr>
          <w:rFonts w:ascii="Times New Roman" w:hAnsi="Times New Roman" w:cs="Times New Roman"/>
          <w:sz w:val="24"/>
          <w:lang w:val="en-US"/>
        </w:rPr>
        <w:t xml:space="preserve">analyzing the sectorial behavior of jobs, the labor market segmentation and the work salary determination during the last two decades. </w:t>
      </w:r>
    </w:p>
    <w:p w:rsidR="001E3755" w:rsidRPr="00B3022F" w:rsidRDefault="001E3755" w:rsidP="009956F2">
      <w:pPr>
        <w:autoSpaceDE w:val="0"/>
        <w:autoSpaceDN w:val="0"/>
        <w:adjustRightInd w:val="0"/>
        <w:spacing w:after="0" w:line="360" w:lineRule="auto"/>
        <w:ind w:firstLine="340"/>
        <w:jc w:val="both"/>
        <w:rPr>
          <w:rFonts w:ascii="Times New Roman" w:hAnsi="Times New Roman" w:cs="Times New Roman"/>
          <w:sz w:val="24"/>
          <w:lang w:val="en-US"/>
        </w:rPr>
      </w:pPr>
      <w:r w:rsidRPr="00B3022F">
        <w:rPr>
          <w:rFonts w:ascii="Times New Roman" w:hAnsi="Times New Roman" w:cs="Times New Roman"/>
          <w:sz w:val="24"/>
          <w:lang w:val="en-US"/>
        </w:rPr>
        <w:t xml:space="preserve">The article´s objective is to </w:t>
      </w:r>
      <w:proofErr w:type="spellStart"/>
      <w:r w:rsidRPr="00B3022F">
        <w:rPr>
          <w:rFonts w:ascii="Times New Roman" w:hAnsi="Times New Roman" w:cs="Times New Roman"/>
          <w:sz w:val="24"/>
          <w:lang w:val="en-US"/>
        </w:rPr>
        <w:t>analize</w:t>
      </w:r>
      <w:proofErr w:type="spellEnd"/>
      <w:r w:rsidRPr="00B3022F">
        <w:rPr>
          <w:rFonts w:ascii="Times New Roman" w:hAnsi="Times New Roman" w:cs="Times New Roman"/>
          <w:sz w:val="24"/>
          <w:lang w:val="en-US"/>
        </w:rPr>
        <w:t xml:space="preserve"> the evolution of the young work force job composition under d</w:t>
      </w:r>
      <w:r w:rsidR="009956F2" w:rsidRPr="00B3022F">
        <w:rPr>
          <w:rFonts w:ascii="Times New Roman" w:hAnsi="Times New Roman" w:cs="Times New Roman"/>
          <w:sz w:val="24"/>
          <w:lang w:val="en-US"/>
        </w:rPr>
        <w:t xml:space="preserve">ifferent macroeconomic regimes in Argentina: neoliberalism (1992-1998) and </w:t>
      </w:r>
      <w:proofErr w:type="spellStart"/>
      <w:r w:rsidR="009956F2" w:rsidRPr="00B3022F">
        <w:rPr>
          <w:rFonts w:ascii="Times New Roman" w:hAnsi="Times New Roman" w:cs="Times New Roman"/>
          <w:sz w:val="24"/>
          <w:lang w:val="en-US"/>
        </w:rPr>
        <w:t>neodevelopmentalism</w:t>
      </w:r>
      <w:proofErr w:type="spellEnd"/>
      <w:r w:rsidR="009956F2" w:rsidRPr="00B3022F">
        <w:rPr>
          <w:rFonts w:ascii="Times New Roman" w:hAnsi="Times New Roman" w:cs="Times New Roman"/>
          <w:sz w:val="24"/>
          <w:lang w:val="en-US"/>
        </w:rPr>
        <w:t xml:space="preserve"> (2004-2014), taking into account the period of socioeconomic crisis (2001-2003) that separates them. </w:t>
      </w:r>
    </w:p>
    <w:p w:rsidR="009956F2" w:rsidRPr="00B3022F" w:rsidRDefault="00FD1332" w:rsidP="009956F2">
      <w:pPr>
        <w:autoSpaceDE w:val="0"/>
        <w:autoSpaceDN w:val="0"/>
        <w:adjustRightInd w:val="0"/>
        <w:spacing w:after="0" w:line="360" w:lineRule="auto"/>
        <w:ind w:firstLine="340"/>
        <w:jc w:val="both"/>
        <w:rPr>
          <w:rFonts w:ascii="Times New Roman" w:hAnsi="Times New Roman" w:cs="Times New Roman"/>
          <w:sz w:val="24"/>
          <w:lang w:val="en-US"/>
        </w:rPr>
      </w:pPr>
      <w:r w:rsidRPr="00B3022F">
        <w:rPr>
          <w:rFonts w:ascii="Times New Roman" w:hAnsi="Times New Roman" w:cs="Times New Roman"/>
          <w:sz w:val="24"/>
          <w:lang w:val="en-US"/>
        </w:rPr>
        <w:t xml:space="preserve">With this </w:t>
      </w:r>
      <w:proofErr w:type="spellStart"/>
      <w:r w:rsidRPr="00B3022F">
        <w:rPr>
          <w:rFonts w:ascii="Times New Roman" w:hAnsi="Times New Roman" w:cs="Times New Roman"/>
          <w:sz w:val="24"/>
          <w:lang w:val="en-US"/>
        </w:rPr>
        <w:t>porpose</w:t>
      </w:r>
      <w:proofErr w:type="spellEnd"/>
      <w:r w:rsidRPr="00B3022F">
        <w:rPr>
          <w:rFonts w:ascii="Times New Roman" w:hAnsi="Times New Roman" w:cs="Times New Roman"/>
          <w:sz w:val="24"/>
          <w:lang w:val="en-US"/>
        </w:rPr>
        <w:t xml:space="preserve"> a quantitative methodological strategy was developed, processing data of the permanent household survey </w:t>
      </w:r>
      <w:r w:rsidR="004E77A6" w:rsidRPr="00B3022F">
        <w:rPr>
          <w:rFonts w:ascii="Times New Roman" w:hAnsi="Times New Roman" w:cs="Times New Roman"/>
          <w:sz w:val="24"/>
          <w:lang w:val="en-US"/>
        </w:rPr>
        <w:t xml:space="preserve">of the INDEC in the Great Buenos Aires agglomerate about the young workers between 18 and 29 years old. </w:t>
      </w:r>
    </w:p>
    <w:p w:rsidR="009903A7" w:rsidRPr="00B3022F" w:rsidRDefault="004E77A6" w:rsidP="009903A7">
      <w:pPr>
        <w:autoSpaceDE w:val="0"/>
        <w:autoSpaceDN w:val="0"/>
        <w:adjustRightInd w:val="0"/>
        <w:spacing w:after="0" w:line="360" w:lineRule="auto"/>
        <w:ind w:firstLine="340"/>
        <w:jc w:val="both"/>
        <w:rPr>
          <w:rFonts w:ascii="Times New Roman" w:hAnsi="Times New Roman" w:cs="Times New Roman"/>
          <w:sz w:val="24"/>
          <w:lang w:val="en-US"/>
        </w:rPr>
      </w:pPr>
      <w:r w:rsidRPr="00B3022F">
        <w:rPr>
          <w:rFonts w:ascii="Times New Roman" w:hAnsi="Times New Roman" w:cs="Times New Roman"/>
          <w:sz w:val="24"/>
          <w:lang w:val="en-US"/>
        </w:rPr>
        <w:t xml:space="preserve">The conclusion of the article is that in labor matters, the young people are in a disadvantaged position, accessing to </w:t>
      </w:r>
      <w:r w:rsidR="00B3022F" w:rsidRPr="00B3022F">
        <w:rPr>
          <w:rFonts w:ascii="Times New Roman" w:hAnsi="Times New Roman" w:cs="Times New Roman"/>
          <w:sz w:val="24"/>
          <w:lang w:val="en-US"/>
        </w:rPr>
        <w:t xml:space="preserve">lower quality jobs, with greater difficulties to keep them, despite the macroeconomic progressive changes that took place during the last years. </w:t>
      </w:r>
    </w:p>
    <w:p w:rsidR="00040869" w:rsidRPr="00B3022F" w:rsidRDefault="003E328F" w:rsidP="00F8438A">
      <w:pPr>
        <w:jc w:val="both"/>
        <w:rPr>
          <w:rFonts w:ascii="Times New Roman" w:hAnsi="Times New Roman" w:cs="Times New Roman"/>
          <w:sz w:val="24"/>
          <w:lang w:val="en-US"/>
        </w:rPr>
      </w:pPr>
      <w:r w:rsidRPr="00B3022F">
        <w:rPr>
          <w:rFonts w:ascii="Times New Roman" w:hAnsi="Times New Roman" w:cs="Times New Roman"/>
          <w:b/>
          <w:sz w:val="24"/>
          <w:lang w:val="en-US"/>
        </w:rPr>
        <w:t>Key words:</w:t>
      </w:r>
      <w:r w:rsidR="00614F87" w:rsidRPr="00B3022F">
        <w:rPr>
          <w:rFonts w:ascii="Times New Roman" w:hAnsi="Times New Roman" w:cs="Times New Roman"/>
          <w:b/>
          <w:sz w:val="24"/>
          <w:lang w:val="en-US"/>
        </w:rPr>
        <w:t xml:space="preserve"> </w:t>
      </w:r>
      <w:r w:rsidR="00614F87" w:rsidRPr="00B3022F">
        <w:rPr>
          <w:rFonts w:ascii="Times New Roman" w:hAnsi="Times New Roman" w:cs="Times New Roman"/>
          <w:sz w:val="24"/>
          <w:lang w:val="en-US"/>
        </w:rPr>
        <w:t xml:space="preserve">young person – labor market </w:t>
      </w:r>
      <w:proofErr w:type="gramStart"/>
      <w:r w:rsidR="00614F87" w:rsidRPr="00B3022F">
        <w:rPr>
          <w:rFonts w:ascii="Times New Roman" w:hAnsi="Times New Roman" w:cs="Times New Roman"/>
          <w:sz w:val="24"/>
          <w:lang w:val="en-US"/>
        </w:rPr>
        <w:t>–  economic</w:t>
      </w:r>
      <w:proofErr w:type="gramEnd"/>
      <w:r w:rsidR="00614F87" w:rsidRPr="00B3022F">
        <w:rPr>
          <w:rFonts w:ascii="Times New Roman" w:hAnsi="Times New Roman" w:cs="Times New Roman"/>
          <w:sz w:val="24"/>
          <w:lang w:val="en-US"/>
        </w:rPr>
        <w:t xml:space="preserve"> systems</w:t>
      </w:r>
      <w:r w:rsidR="002800B5" w:rsidRPr="00B3022F">
        <w:rPr>
          <w:rFonts w:ascii="Times New Roman" w:hAnsi="Times New Roman" w:cs="Times New Roman"/>
          <w:sz w:val="24"/>
          <w:lang w:val="en-US"/>
        </w:rPr>
        <w:t>.</w:t>
      </w:r>
    </w:p>
    <w:p w:rsidR="00040869" w:rsidRPr="00614F87" w:rsidRDefault="00040869" w:rsidP="00F8438A">
      <w:pPr>
        <w:jc w:val="both"/>
        <w:rPr>
          <w:lang w:val="en-US"/>
        </w:rPr>
      </w:pPr>
    </w:p>
    <w:p w:rsidR="003B7AB3" w:rsidRPr="00417916" w:rsidRDefault="009766CD" w:rsidP="00417916">
      <w:pPr>
        <w:pStyle w:val="Prrafodelista"/>
        <w:numPr>
          <w:ilvl w:val="0"/>
          <w:numId w:val="21"/>
        </w:numPr>
        <w:tabs>
          <w:tab w:val="left" w:pos="2955"/>
        </w:tabs>
        <w:rPr>
          <w:rFonts w:ascii="Times New Roman" w:hAnsi="Times New Roman" w:cs="Times New Roman"/>
          <w:b/>
          <w:sz w:val="24"/>
        </w:rPr>
      </w:pPr>
      <w:r w:rsidRPr="00417916">
        <w:rPr>
          <w:rFonts w:ascii="Times New Roman" w:hAnsi="Times New Roman" w:cs="Times New Roman"/>
          <w:b/>
          <w:sz w:val="24"/>
        </w:rPr>
        <w:t>Presentaci</w:t>
      </w:r>
      <w:r w:rsidR="003B7AB3" w:rsidRPr="00417916">
        <w:rPr>
          <w:rFonts w:ascii="Times New Roman" w:hAnsi="Times New Roman" w:cs="Times New Roman"/>
          <w:b/>
          <w:sz w:val="24"/>
        </w:rPr>
        <w:t>ón</w:t>
      </w:r>
    </w:p>
    <w:p w:rsidR="00492B40" w:rsidRPr="00492B40" w:rsidRDefault="00492B40" w:rsidP="008C4038">
      <w:pPr>
        <w:autoSpaceDE w:val="0"/>
        <w:autoSpaceDN w:val="0"/>
        <w:adjustRightInd w:val="0"/>
        <w:spacing w:after="0" w:line="360" w:lineRule="auto"/>
        <w:ind w:firstLine="340"/>
        <w:jc w:val="both"/>
        <w:rPr>
          <w:rFonts w:ascii="Times New Roman" w:hAnsi="Times New Roman" w:cs="Times New Roman"/>
          <w:sz w:val="24"/>
        </w:rPr>
      </w:pPr>
      <w:r w:rsidRPr="00492B40">
        <w:rPr>
          <w:rFonts w:ascii="Times New Roman" w:hAnsi="Times New Roman" w:cs="Times New Roman"/>
          <w:sz w:val="24"/>
        </w:rPr>
        <w:t xml:space="preserve">La literatura especializada ha ido relevando información acerca de los jóvenes quienes, junto a las mujeres, conforman uno de los grupos más vulnerables del mundo del trabajo. Siguiendo a </w:t>
      </w:r>
      <w:proofErr w:type="spellStart"/>
      <w:r w:rsidRPr="00492B40">
        <w:rPr>
          <w:rFonts w:ascii="Times New Roman" w:hAnsi="Times New Roman" w:cs="Times New Roman"/>
          <w:sz w:val="24"/>
        </w:rPr>
        <w:t>Saraví</w:t>
      </w:r>
      <w:proofErr w:type="spellEnd"/>
      <w:r w:rsidRPr="00492B40">
        <w:rPr>
          <w:rFonts w:ascii="Times New Roman" w:hAnsi="Times New Roman" w:cs="Times New Roman"/>
          <w:sz w:val="24"/>
        </w:rPr>
        <w:t xml:space="preserve"> (2009), la juventud se puede asociar a cuatro transiciones claves en el camino a la adultez; la primera es la de pasar del sistema de educación formal al mercado de trabajo, la segunda la de la formación de una nueva familia a través de la unión conyugal y/o maternidad/paternidad, la tercera es la obtención de la independencia en términos residenciales a partir de abandonar la casa de los padres, y por último, pero no por ello menos importante, la búsqueda y construcción de una identidad propia. Entendemos que el hecho de estar atravesando esta serie de procesos tan dinámicos y complejos del ciclo de vida de una persona, no sólo hace de la juventud una etapa </w:t>
      </w:r>
      <w:r w:rsidRPr="00492B40">
        <w:rPr>
          <w:rFonts w:ascii="Times New Roman" w:hAnsi="Times New Roman" w:cs="Times New Roman"/>
          <w:sz w:val="24"/>
        </w:rPr>
        <w:lastRenderedPageBreak/>
        <w:t xml:space="preserve">clave de la experiencia biográfica, sino que también es allí donde se reflejan las tensiones de una nueva cuestión social. Una nueva cuestión social caracterizada por la mutación de las formas tradicionales en la relación entre individuo y sociedad, provocadas por los cambios en los regímenes de bienestar y los mercados de trabajo en el contexto de los procesos de reformas sociales y reestructuración socioeconómica que acompañaron a la globalización. </w:t>
      </w:r>
      <w:r w:rsidR="008B04AD">
        <w:rPr>
          <w:rFonts w:ascii="Times New Roman" w:hAnsi="Times New Roman" w:cs="Times New Roman"/>
          <w:sz w:val="24"/>
        </w:rPr>
        <w:t>C</w:t>
      </w:r>
      <w:r w:rsidRPr="00492B40">
        <w:rPr>
          <w:rFonts w:ascii="Times New Roman" w:hAnsi="Times New Roman" w:cs="Times New Roman"/>
          <w:sz w:val="24"/>
        </w:rPr>
        <w:t>entrándonos en cómo esto posiciona a los jóvenes en la estructura d</w:t>
      </w:r>
      <w:r w:rsidR="008B04AD">
        <w:rPr>
          <w:rFonts w:ascii="Times New Roman" w:hAnsi="Times New Roman" w:cs="Times New Roman"/>
          <w:sz w:val="24"/>
        </w:rPr>
        <w:t>e oportunidades socio-laborales el panorama es preocupante. E</w:t>
      </w:r>
      <w:r w:rsidRPr="00492B40">
        <w:rPr>
          <w:rFonts w:ascii="Times New Roman" w:hAnsi="Times New Roman" w:cs="Times New Roman"/>
          <w:sz w:val="24"/>
        </w:rPr>
        <w:t xml:space="preserve">s debido a esta preocupación que se ha dado un extenso </w:t>
      </w:r>
      <w:r w:rsidR="00E94C37">
        <w:rPr>
          <w:rFonts w:ascii="Times New Roman" w:hAnsi="Times New Roman" w:cs="Times New Roman"/>
          <w:sz w:val="24"/>
        </w:rPr>
        <w:t>debate académico y político que</w:t>
      </w:r>
      <w:r w:rsidRPr="00492B40">
        <w:rPr>
          <w:rFonts w:ascii="Times New Roman" w:hAnsi="Times New Roman" w:cs="Times New Roman"/>
          <w:sz w:val="24"/>
        </w:rPr>
        <w:t xml:space="preserve"> ha concluido que los jóvenes efectivamente enfrentan mayor inestabilidad laboral que los adultos, aunque verificándose fuertes discrepancias según género y nivel educativo</w:t>
      </w:r>
      <w:r w:rsidR="008B04AD">
        <w:rPr>
          <w:rFonts w:ascii="Times New Roman" w:hAnsi="Times New Roman" w:cs="Times New Roman"/>
          <w:sz w:val="24"/>
        </w:rPr>
        <w:t xml:space="preserve"> (</w:t>
      </w:r>
      <w:proofErr w:type="spellStart"/>
      <w:r w:rsidR="008B04AD">
        <w:rPr>
          <w:rFonts w:ascii="Times New Roman" w:hAnsi="Times New Roman" w:cs="Times New Roman"/>
          <w:sz w:val="24"/>
        </w:rPr>
        <w:t>Egu</w:t>
      </w:r>
      <w:r w:rsidR="007927FA">
        <w:rPr>
          <w:rFonts w:ascii="Times New Roman" w:hAnsi="Times New Roman" w:cs="Times New Roman"/>
          <w:sz w:val="24"/>
        </w:rPr>
        <w:t>ía</w:t>
      </w:r>
      <w:proofErr w:type="spellEnd"/>
      <w:r w:rsidR="007927FA">
        <w:rPr>
          <w:rFonts w:ascii="Times New Roman" w:hAnsi="Times New Roman" w:cs="Times New Roman"/>
          <w:sz w:val="24"/>
        </w:rPr>
        <w:t xml:space="preserve">, </w:t>
      </w:r>
      <w:proofErr w:type="spellStart"/>
      <w:r w:rsidR="007927FA">
        <w:rPr>
          <w:rFonts w:ascii="Times New Roman" w:hAnsi="Times New Roman" w:cs="Times New Roman"/>
          <w:sz w:val="24"/>
        </w:rPr>
        <w:t>Piovani</w:t>
      </w:r>
      <w:proofErr w:type="spellEnd"/>
      <w:r w:rsidR="007927FA">
        <w:rPr>
          <w:rFonts w:ascii="Times New Roman" w:hAnsi="Times New Roman" w:cs="Times New Roman"/>
          <w:sz w:val="24"/>
        </w:rPr>
        <w:t xml:space="preserve"> y Salvia</w:t>
      </w:r>
      <w:r w:rsidR="008B04AD">
        <w:rPr>
          <w:rFonts w:ascii="Times New Roman" w:hAnsi="Times New Roman" w:cs="Times New Roman"/>
          <w:sz w:val="24"/>
        </w:rPr>
        <w:t xml:space="preserve">, 2007, </w:t>
      </w:r>
      <w:r w:rsidR="00A52CA1">
        <w:rPr>
          <w:rFonts w:ascii="Times New Roman" w:hAnsi="Times New Roman" w:cs="Times New Roman"/>
          <w:sz w:val="24"/>
        </w:rPr>
        <w:t>PNUD 2011</w:t>
      </w:r>
      <w:r w:rsidR="00E94C37">
        <w:rPr>
          <w:rFonts w:ascii="Times New Roman" w:hAnsi="Times New Roman" w:cs="Times New Roman"/>
          <w:sz w:val="24"/>
        </w:rPr>
        <w:t>, CEPAL 2015)</w:t>
      </w:r>
      <w:r w:rsidRPr="00492B40">
        <w:rPr>
          <w:rFonts w:ascii="Times New Roman" w:hAnsi="Times New Roman" w:cs="Times New Roman"/>
          <w:sz w:val="24"/>
        </w:rPr>
        <w:t xml:space="preserve">. </w:t>
      </w:r>
    </w:p>
    <w:p w:rsidR="008B723B" w:rsidRDefault="008B723B" w:rsidP="008C4038">
      <w:pPr>
        <w:autoSpaceDE w:val="0"/>
        <w:autoSpaceDN w:val="0"/>
        <w:adjustRightInd w:val="0"/>
        <w:spacing w:after="0" w:line="360" w:lineRule="auto"/>
        <w:ind w:firstLine="340"/>
        <w:jc w:val="both"/>
        <w:rPr>
          <w:rFonts w:ascii="Times New Roman" w:hAnsi="Times New Roman" w:cs="Times New Roman"/>
          <w:sz w:val="24"/>
        </w:rPr>
      </w:pPr>
      <w:r w:rsidRPr="001327D3">
        <w:rPr>
          <w:rFonts w:ascii="Times New Roman" w:hAnsi="Times New Roman" w:cs="Times New Roman"/>
          <w:sz w:val="24"/>
        </w:rPr>
        <w:t>Los jóvenes cuentan con niveles más elevados de educación formal, un mejor manejo de las nuevas tecnologías –de suma importancia para el desarrollo económico y productivo-, con ello una mayor adaptabilidad en contextos volátiles característicos de nuestra región en las décadas recientes, e incluso, una mayor esperanza de vida. No obstante, las dificultades que sufren en materia laboral se reconocen hoy como un problema global, siendo que pareciera imposible proporcionar a</w:t>
      </w:r>
      <w:r w:rsidR="007A1F3B" w:rsidRPr="001327D3">
        <w:rPr>
          <w:rFonts w:ascii="Times New Roman" w:hAnsi="Times New Roman" w:cs="Times New Roman"/>
          <w:sz w:val="24"/>
        </w:rPr>
        <w:t xml:space="preserve"> todos</w:t>
      </w:r>
      <w:r w:rsidRPr="001327D3">
        <w:rPr>
          <w:rFonts w:ascii="Times New Roman" w:hAnsi="Times New Roman" w:cs="Times New Roman"/>
          <w:sz w:val="24"/>
        </w:rPr>
        <w:t xml:space="preserve"> los jóvenes trabajos dignos, productivos, de calidad, y con ello brindarles integración social y autonomía. </w:t>
      </w:r>
    </w:p>
    <w:p w:rsidR="00C30886" w:rsidRPr="001327D3" w:rsidRDefault="00C30886" w:rsidP="008C4038">
      <w:pPr>
        <w:autoSpaceDE w:val="0"/>
        <w:autoSpaceDN w:val="0"/>
        <w:adjustRightInd w:val="0"/>
        <w:spacing w:after="0" w:line="360" w:lineRule="auto"/>
        <w:ind w:firstLine="340"/>
        <w:jc w:val="both"/>
        <w:rPr>
          <w:rFonts w:ascii="Times New Roman" w:hAnsi="Times New Roman" w:cs="Times New Roman"/>
          <w:sz w:val="24"/>
        </w:rPr>
      </w:pPr>
      <w:r w:rsidRPr="001327D3">
        <w:rPr>
          <w:rFonts w:ascii="Times New Roman" w:hAnsi="Times New Roman" w:cs="Times New Roman"/>
          <w:sz w:val="24"/>
        </w:rPr>
        <w:t>El presente estudio busca e</w:t>
      </w:r>
      <w:r w:rsidR="0001582F">
        <w:rPr>
          <w:rFonts w:ascii="Times New Roman" w:hAnsi="Times New Roman" w:cs="Times New Roman"/>
          <w:sz w:val="24"/>
        </w:rPr>
        <w:t>valuar el modo diferencial en que</w:t>
      </w:r>
      <w:r w:rsidRPr="001327D3">
        <w:rPr>
          <w:rFonts w:ascii="Times New Roman" w:hAnsi="Times New Roman" w:cs="Times New Roman"/>
          <w:sz w:val="24"/>
        </w:rPr>
        <w:t xml:space="preserve"> las condiciones estructurales de las economías per</w:t>
      </w:r>
      <w:r w:rsidR="0001582F">
        <w:rPr>
          <w:rFonts w:ascii="Times New Roman" w:hAnsi="Times New Roman" w:cs="Times New Roman"/>
          <w:sz w:val="24"/>
        </w:rPr>
        <w:t>iféricas como la de Argentina</w:t>
      </w:r>
      <w:r w:rsidRPr="001327D3">
        <w:rPr>
          <w:rFonts w:ascii="Times New Roman" w:hAnsi="Times New Roman" w:cs="Times New Roman"/>
          <w:sz w:val="24"/>
        </w:rPr>
        <w:t xml:space="preserve">, afectan a la fuerza de trabajo joven, </w:t>
      </w:r>
      <w:r w:rsidR="0001582F">
        <w:rPr>
          <w:rFonts w:ascii="Times New Roman" w:hAnsi="Times New Roman" w:cs="Times New Roman"/>
          <w:sz w:val="24"/>
        </w:rPr>
        <w:t>bajo el supuesto de que</w:t>
      </w:r>
      <w:r w:rsidRPr="001327D3">
        <w:rPr>
          <w:rFonts w:ascii="Times New Roman" w:hAnsi="Times New Roman" w:cs="Times New Roman"/>
          <w:sz w:val="24"/>
        </w:rPr>
        <w:t xml:space="preserve"> es un grupo de edad </w:t>
      </w:r>
      <w:r w:rsidR="0001582F">
        <w:rPr>
          <w:rFonts w:ascii="Times New Roman" w:hAnsi="Times New Roman" w:cs="Times New Roman"/>
          <w:sz w:val="24"/>
        </w:rPr>
        <w:t>especialmente</w:t>
      </w:r>
      <w:r w:rsidRPr="001327D3">
        <w:rPr>
          <w:rFonts w:ascii="Times New Roman" w:hAnsi="Times New Roman" w:cs="Times New Roman"/>
          <w:sz w:val="24"/>
        </w:rPr>
        <w:t xml:space="preserve"> </w:t>
      </w:r>
      <w:r>
        <w:rPr>
          <w:rFonts w:ascii="Times New Roman" w:hAnsi="Times New Roman" w:cs="Times New Roman"/>
          <w:sz w:val="24"/>
        </w:rPr>
        <w:t xml:space="preserve">vulnerable a los </w:t>
      </w:r>
      <w:r w:rsidRPr="001327D3">
        <w:rPr>
          <w:rFonts w:ascii="Times New Roman" w:hAnsi="Times New Roman" w:cs="Times New Roman"/>
          <w:sz w:val="24"/>
        </w:rPr>
        <w:t xml:space="preserve">cambios productivos, el deterioro del mercado de trabajo y la crisis de las instituciones públicas y sociales tradicionales. </w:t>
      </w:r>
    </w:p>
    <w:p w:rsidR="00912413" w:rsidRDefault="00C30886" w:rsidP="001327D3">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En este sentido, n</w:t>
      </w:r>
      <w:r w:rsidR="001130D2" w:rsidRPr="001327D3">
        <w:rPr>
          <w:rFonts w:ascii="Times New Roman" w:hAnsi="Times New Roman" w:cs="Times New Roman"/>
          <w:sz w:val="24"/>
        </w:rPr>
        <w:t xml:space="preserve">os proponemos </w:t>
      </w:r>
      <w:r w:rsidR="0001582F">
        <w:rPr>
          <w:rFonts w:ascii="Times New Roman" w:hAnsi="Times New Roman" w:cs="Times New Roman"/>
          <w:sz w:val="24"/>
        </w:rPr>
        <w:t>realizar inferencias sobre este conjunto</w:t>
      </w:r>
      <w:r w:rsidR="001130D2" w:rsidRPr="001327D3">
        <w:rPr>
          <w:rFonts w:ascii="Times New Roman" w:hAnsi="Times New Roman" w:cs="Times New Roman"/>
          <w:sz w:val="24"/>
        </w:rPr>
        <w:t xml:space="preserve"> de la </w:t>
      </w:r>
      <w:r w:rsidR="00335B18" w:rsidRPr="001327D3">
        <w:rPr>
          <w:rFonts w:ascii="Times New Roman" w:hAnsi="Times New Roman" w:cs="Times New Roman"/>
          <w:sz w:val="24"/>
        </w:rPr>
        <w:t xml:space="preserve">fuerza de trabajo </w:t>
      </w:r>
      <w:r w:rsidR="00583B1A" w:rsidRPr="001327D3">
        <w:rPr>
          <w:rFonts w:ascii="Times New Roman" w:hAnsi="Times New Roman" w:cs="Times New Roman"/>
          <w:sz w:val="24"/>
        </w:rPr>
        <w:t>teniendo como referencia evidencias empíricas acumuladas</w:t>
      </w:r>
      <w:r w:rsidR="00583B1A" w:rsidRPr="00A64EFA">
        <w:rPr>
          <w:rStyle w:val="Refdenotaalpie"/>
          <w:sz w:val="20"/>
          <w:szCs w:val="20"/>
        </w:rPr>
        <w:footnoteReference w:id="4"/>
      </w:r>
      <w:r w:rsidR="00583B1A" w:rsidRPr="001327D3">
        <w:rPr>
          <w:rFonts w:ascii="Times New Roman" w:hAnsi="Times New Roman" w:cs="Times New Roman"/>
          <w:sz w:val="24"/>
        </w:rPr>
        <w:t xml:space="preserve"> sobre lo</w:t>
      </w:r>
      <w:r w:rsidR="001130D2" w:rsidRPr="001327D3">
        <w:rPr>
          <w:rFonts w:ascii="Times New Roman" w:hAnsi="Times New Roman" w:cs="Times New Roman"/>
          <w:sz w:val="24"/>
        </w:rPr>
        <w:t xml:space="preserve"> que le fue sucediendo a la totalidad de la </w:t>
      </w:r>
      <w:r w:rsidR="00335B18" w:rsidRPr="001327D3">
        <w:rPr>
          <w:rFonts w:ascii="Times New Roman" w:hAnsi="Times New Roman" w:cs="Times New Roman"/>
          <w:sz w:val="24"/>
        </w:rPr>
        <w:t>misma</w:t>
      </w:r>
      <w:r w:rsidR="001130D2" w:rsidRPr="001327D3">
        <w:rPr>
          <w:rFonts w:ascii="Times New Roman" w:hAnsi="Times New Roman" w:cs="Times New Roman"/>
          <w:sz w:val="24"/>
        </w:rPr>
        <w:t xml:space="preserve"> en el </w:t>
      </w:r>
      <w:r w:rsidR="006B5D47">
        <w:rPr>
          <w:rFonts w:ascii="Times New Roman" w:hAnsi="Times New Roman" w:cs="Times New Roman"/>
          <w:sz w:val="24"/>
        </w:rPr>
        <w:t>G</w:t>
      </w:r>
      <w:r w:rsidR="002966D4">
        <w:rPr>
          <w:rFonts w:ascii="Times New Roman" w:hAnsi="Times New Roman" w:cs="Times New Roman"/>
          <w:sz w:val="24"/>
        </w:rPr>
        <w:t>ran</w:t>
      </w:r>
      <w:r w:rsidR="0001582F">
        <w:rPr>
          <w:rFonts w:ascii="Times New Roman" w:hAnsi="Times New Roman" w:cs="Times New Roman"/>
          <w:sz w:val="24"/>
        </w:rPr>
        <w:t xml:space="preserve"> Buenos Aires</w:t>
      </w:r>
      <w:r w:rsidR="0059446A">
        <w:rPr>
          <w:rFonts w:ascii="Times New Roman" w:hAnsi="Times New Roman" w:cs="Times New Roman"/>
          <w:sz w:val="24"/>
        </w:rPr>
        <w:t xml:space="preserve"> (</w:t>
      </w:r>
      <w:r w:rsidR="005316BB">
        <w:rPr>
          <w:rFonts w:ascii="Times New Roman" w:hAnsi="Times New Roman" w:cs="Times New Roman"/>
          <w:sz w:val="24"/>
        </w:rPr>
        <w:t>GBA</w:t>
      </w:r>
      <w:r w:rsidR="0059446A">
        <w:rPr>
          <w:rFonts w:ascii="Times New Roman" w:hAnsi="Times New Roman" w:cs="Times New Roman"/>
          <w:sz w:val="24"/>
        </w:rPr>
        <w:t>)</w:t>
      </w:r>
      <w:r w:rsidR="0001582F">
        <w:rPr>
          <w:rStyle w:val="Refdenotaalpie"/>
          <w:rFonts w:ascii="Times New Roman" w:hAnsi="Times New Roman" w:cs="Times New Roman"/>
          <w:sz w:val="24"/>
        </w:rPr>
        <w:footnoteReference w:id="5"/>
      </w:r>
      <w:r w:rsidR="001130D2" w:rsidRPr="001327D3">
        <w:rPr>
          <w:rFonts w:ascii="Times New Roman" w:hAnsi="Times New Roman" w:cs="Times New Roman"/>
          <w:sz w:val="24"/>
        </w:rPr>
        <w:t xml:space="preserve">. </w:t>
      </w:r>
      <w:r w:rsidR="00EE3E58">
        <w:rPr>
          <w:rFonts w:ascii="Times New Roman" w:hAnsi="Times New Roman" w:cs="Times New Roman"/>
          <w:sz w:val="24"/>
        </w:rPr>
        <w:t>Se ha buscado</w:t>
      </w:r>
      <w:r w:rsidR="00BB5E81" w:rsidRPr="001327D3">
        <w:rPr>
          <w:rFonts w:ascii="Times New Roman" w:hAnsi="Times New Roman" w:cs="Times New Roman"/>
          <w:sz w:val="24"/>
        </w:rPr>
        <w:t xml:space="preserve"> inferir para el periodo </w:t>
      </w:r>
      <w:r w:rsidR="00BB5E81" w:rsidRPr="001327D3">
        <w:rPr>
          <w:rFonts w:ascii="Times New Roman" w:hAnsi="Times New Roman" w:cs="Times New Roman"/>
          <w:sz w:val="24"/>
        </w:rPr>
        <w:lastRenderedPageBreak/>
        <w:t>1992-2014 cuál fue</w:t>
      </w:r>
      <w:r w:rsidR="001130D2" w:rsidRPr="001327D3">
        <w:rPr>
          <w:rFonts w:ascii="Times New Roman" w:hAnsi="Times New Roman" w:cs="Times New Roman"/>
          <w:sz w:val="24"/>
        </w:rPr>
        <w:t xml:space="preserve"> la situación de </w:t>
      </w:r>
      <w:r w:rsidR="00335B18" w:rsidRPr="001327D3">
        <w:rPr>
          <w:rFonts w:ascii="Times New Roman" w:hAnsi="Times New Roman" w:cs="Times New Roman"/>
          <w:sz w:val="24"/>
        </w:rPr>
        <w:t>los jóvenes</w:t>
      </w:r>
      <w:r w:rsidR="001130D2" w:rsidRPr="001327D3">
        <w:rPr>
          <w:rFonts w:ascii="Times New Roman" w:hAnsi="Times New Roman" w:cs="Times New Roman"/>
          <w:sz w:val="24"/>
        </w:rPr>
        <w:t xml:space="preserve"> frente a un mercado de trabajo que históricamente les brindó condiciones de may</w:t>
      </w:r>
      <w:r w:rsidR="00611FF3" w:rsidRPr="001327D3">
        <w:rPr>
          <w:rFonts w:ascii="Times New Roman" w:hAnsi="Times New Roman" w:cs="Times New Roman"/>
          <w:sz w:val="24"/>
        </w:rPr>
        <w:t>or precariedad y vulnerabilidad</w:t>
      </w:r>
      <w:r w:rsidR="00B120F2">
        <w:rPr>
          <w:rStyle w:val="Refdenotaalpie"/>
          <w:rFonts w:ascii="Times New Roman" w:hAnsi="Times New Roman" w:cs="Times New Roman"/>
          <w:sz w:val="24"/>
        </w:rPr>
        <w:footnoteReference w:id="6"/>
      </w:r>
      <w:r w:rsidR="00611FF3" w:rsidRPr="001327D3">
        <w:rPr>
          <w:rFonts w:ascii="Times New Roman" w:hAnsi="Times New Roman" w:cs="Times New Roman"/>
          <w:sz w:val="24"/>
        </w:rPr>
        <w:t xml:space="preserve">. </w:t>
      </w:r>
    </w:p>
    <w:p w:rsidR="00C30886" w:rsidRDefault="00611FF3" w:rsidP="008C4038">
      <w:pPr>
        <w:autoSpaceDE w:val="0"/>
        <w:autoSpaceDN w:val="0"/>
        <w:adjustRightInd w:val="0"/>
        <w:spacing w:after="0" w:line="360" w:lineRule="auto"/>
        <w:ind w:firstLine="340"/>
        <w:jc w:val="both"/>
        <w:rPr>
          <w:rFonts w:ascii="Times New Roman" w:hAnsi="Times New Roman" w:cs="Times New Roman"/>
          <w:sz w:val="24"/>
        </w:rPr>
      </w:pPr>
      <w:r w:rsidRPr="001327D3">
        <w:rPr>
          <w:rFonts w:ascii="Times New Roman" w:hAnsi="Times New Roman" w:cs="Times New Roman"/>
          <w:sz w:val="24"/>
        </w:rPr>
        <w:t xml:space="preserve">De esta forma, se compara la matriz económico-ocupacional durante el periodo de reformas neoliberales en la Convertibilidad y la etapa de crecimiento bajo políticas </w:t>
      </w:r>
      <w:r w:rsidR="00474DBB" w:rsidRPr="001327D3">
        <w:rPr>
          <w:rFonts w:ascii="Times New Roman" w:hAnsi="Times New Roman" w:cs="Times New Roman"/>
          <w:sz w:val="24"/>
        </w:rPr>
        <w:t>heterodoxas</w:t>
      </w:r>
      <w:r w:rsidRPr="001327D3">
        <w:rPr>
          <w:rFonts w:ascii="Times New Roman" w:hAnsi="Times New Roman" w:cs="Times New Roman"/>
          <w:sz w:val="24"/>
        </w:rPr>
        <w:t xml:space="preserve"> de la </w:t>
      </w:r>
      <w:r w:rsidR="000C0411">
        <w:rPr>
          <w:rFonts w:ascii="Times New Roman" w:hAnsi="Times New Roman" w:cs="Times New Roman"/>
          <w:sz w:val="24"/>
        </w:rPr>
        <w:t>post-convertibilidad</w:t>
      </w:r>
      <w:r w:rsidRPr="001327D3">
        <w:rPr>
          <w:rFonts w:ascii="Times New Roman" w:hAnsi="Times New Roman" w:cs="Times New Roman"/>
          <w:sz w:val="24"/>
        </w:rPr>
        <w:t xml:space="preserve">, teniendo en cuenta la inserción sectorial de la fuerza de trabajo joven, la calidad de sus empleos y las </w:t>
      </w:r>
      <w:r w:rsidR="00854934">
        <w:rPr>
          <w:rFonts w:ascii="Times New Roman" w:hAnsi="Times New Roman" w:cs="Times New Roman"/>
          <w:sz w:val="24"/>
        </w:rPr>
        <w:t>remuneraciones horarias</w:t>
      </w:r>
      <w:r w:rsidRPr="001327D3">
        <w:rPr>
          <w:rFonts w:ascii="Times New Roman" w:hAnsi="Times New Roman" w:cs="Times New Roman"/>
          <w:sz w:val="24"/>
        </w:rPr>
        <w:t>, sin perder de vista el comportamiento del conjunto de la población</w:t>
      </w:r>
      <w:r w:rsidR="00BB5E81" w:rsidRPr="001327D3">
        <w:rPr>
          <w:rFonts w:ascii="Times New Roman" w:hAnsi="Times New Roman" w:cs="Times New Roman"/>
          <w:sz w:val="24"/>
        </w:rPr>
        <w:t xml:space="preserve"> urbana </w:t>
      </w:r>
      <w:r w:rsidRPr="001327D3">
        <w:rPr>
          <w:rFonts w:ascii="Times New Roman" w:hAnsi="Times New Roman" w:cs="Times New Roman"/>
          <w:sz w:val="24"/>
        </w:rPr>
        <w:t xml:space="preserve">económicamente activa. </w:t>
      </w:r>
      <w:r w:rsidR="00BB5E81" w:rsidRPr="001327D3">
        <w:rPr>
          <w:rFonts w:ascii="Times New Roman" w:hAnsi="Times New Roman" w:cs="Times New Roman"/>
          <w:sz w:val="24"/>
        </w:rPr>
        <w:t xml:space="preserve">Centramos el análisis en el mercado de trabajo </w:t>
      </w:r>
      <w:r w:rsidR="00C30886">
        <w:rPr>
          <w:rFonts w:ascii="Times New Roman" w:hAnsi="Times New Roman" w:cs="Times New Roman"/>
          <w:sz w:val="24"/>
        </w:rPr>
        <w:t xml:space="preserve">joven </w:t>
      </w:r>
      <w:r w:rsidR="00BB5E81" w:rsidRPr="001327D3">
        <w:rPr>
          <w:rFonts w:ascii="Times New Roman" w:hAnsi="Times New Roman" w:cs="Times New Roman"/>
          <w:sz w:val="24"/>
        </w:rPr>
        <w:t xml:space="preserve">del </w:t>
      </w:r>
      <w:r w:rsidR="005316BB">
        <w:rPr>
          <w:rFonts w:ascii="Times New Roman" w:hAnsi="Times New Roman" w:cs="Times New Roman"/>
          <w:sz w:val="24"/>
        </w:rPr>
        <w:t>GBA</w:t>
      </w:r>
      <w:r w:rsidR="00BB5E81" w:rsidRPr="001327D3">
        <w:rPr>
          <w:rFonts w:ascii="Times New Roman" w:hAnsi="Times New Roman" w:cs="Times New Roman"/>
          <w:sz w:val="24"/>
        </w:rPr>
        <w:t xml:space="preserve"> durante el periodo 1992-2014.</w:t>
      </w:r>
    </w:p>
    <w:p w:rsidR="00912413" w:rsidRPr="001327D3" w:rsidRDefault="00912413" w:rsidP="001327D3">
      <w:pPr>
        <w:autoSpaceDE w:val="0"/>
        <w:autoSpaceDN w:val="0"/>
        <w:adjustRightInd w:val="0"/>
        <w:spacing w:after="0" w:line="360" w:lineRule="auto"/>
        <w:jc w:val="both"/>
        <w:rPr>
          <w:rFonts w:ascii="Times New Roman" w:hAnsi="Times New Roman" w:cs="Times New Roman"/>
          <w:sz w:val="24"/>
        </w:rPr>
      </w:pPr>
    </w:p>
    <w:p w:rsidR="0020489A" w:rsidRPr="00202565" w:rsidRDefault="004A5697" w:rsidP="00202565">
      <w:pPr>
        <w:pStyle w:val="Prrafodelista"/>
        <w:numPr>
          <w:ilvl w:val="0"/>
          <w:numId w:val="21"/>
        </w:numPr>
        <w:tabs>
          <w:tab w:val="left" w:pos="2955"/>
        </w:tabs>
        <w:rPr>
          <w:rFonts w:ascii="Times New Roman" w:hAnsi="Times New Roman" w:cs="Times New Roman"/>
          <w:b/>
          <w:sz w:val="24"/>
        </w:rPr>
      </w:pPr>
      <w:r w:rsidRPr="00202565">
        <w:rPr>
          <w:rFonts w:ascii="Times New Roman" w:hAnsi="Times New Roman" w:cs="Times New Roman"/>
          <w:b/>
          <w:sz w:val="24"/>
        </w:rPr>
        <w:t>Antecedentes teóricos</w:t>
      </w:r>
    </w:p>
    <w:p w:rsidR="000862EB" w:rsidRPr="000862EB" w:rsidRDefault="000862EB" w:rsidP="008C4038">
      <w:pPr>
        <w:autoSpaceDE w:val="0"/>
        <w:autoSpaceDN w:val="0"/>
        <w:adjustRightInd w:val="0"/>
        <w:spacing w:after="0" w:line="360" w:lineRule="auto"/>
        <w:ind w:firstLine="340"/>
        <w:jc w:val="both"/>
        <w:rPr>
          <w:rFonts w:ascii="Times New Roman" w:hAnsi="Times New Roman" w:cs="Times New Roman"/>
          <w:sz w:val="24"/>
        </w:rPr>
      </w:pPr>
      <w:r w:rsidRPr="000862EB">
        <w:rPr>
          <w:rFonts w:ascii="Times New Roman" w:hAnsi="Times New Roman" w:cs="Times New Roman"/>
          <w:sz w:val="24"/>
        </w:rPr>
        <w:t>Las diversas interpretaciones sobre</w:t>
      </w:r>
      <w:r w:rsidR="00492B40">
        <w:rPr>
          <w:rFonts w:ascii="Times New Roman" w:hAnsi="Times New Roman" w:cs="Times New Roman"/>
          <w:sz w:val="24"/>
        </w:rPr>
        <w:t xml:space="preserve"> la</w:t>
      </w:r>
      <w:r w:rsidRPr="000862EB">
        <w:rPr>
          <w:rFonts w:ascii="Times New Roman" w:hAnsi="Times New Roman" w:cs="Times New Roman"/>
          <w:sz w:val="24"/>
        </w:rPr>
        <w:t xml:space="preserve"> problemática</w:t>
      </w:r>
      <w:r w:rsidR="00492B40">
        <w:rPr>
          <w:rFonts w:ascii="Times New Roman" w:hAnsi="Times New Roman" w:cs="Times New Roman"/>
          <w:sz w:val="24"/>
        </w:rPr>
        <w:t xml:space="preserve"> laboral</w:t>
      </w:r>
      <w:r w:rsidR="00F63F14">
        <w:rPr>
          <w:rFonts w:ascii="Times New Roman" w:hAnsi="Times New Roman" w:cs="Times New Roman"/>
          <w:sz w:val="24"/>
        </w:rPr>
        <w:t xml:space="preserve"> giran en torno a los desajustes existentes </w:t>
      </w:r>
      <w:r w:rsidRPr="000862EB">
        <w:rPr>
          <w:rFonts w:ascii="Times New Roman" w:hAnsi="Times New Roman" w:cs="Times New Roman"/>
          <w:sz w:val="24"/>
        </w:rPr>
        <w:t>entre la oferta y la demanda en el mercado de trabajo. El enfoque en el que se posicionará este artículo concluye que los factores socioeconómicos</w:t>
      </w:r>
      <w:r w:rsidR="004A262A">
        <w:rPr>
          <w:rFonts w:ascii="Times New Roman" w:hAnsi="Times New Roman" w:cs="Times New Roman"/>
          <w:sz w:val="24"/>
        </w:rPr>
        <w:t xml:space="preserve"> de origen</w:t>
      </w:r>
      <w:r w:rsidRPr="000862EB">
        <w:rPr>
          <w:rFonts w:ascii="Times New Roman" w:hAnsi="Times New Roman" w:cs="Times New Roman"/>
          <w:sz w:val="24"/>
        </w:rPr>
        <w:t xml:space="preserve"> son los principales condicionantes de las trayectorias que conformarán los jóvenes, y que los sitúan desde un comienzo en mayor o menor desventaja (Salvia y Miranda, 2003; Tuñón y Salvia, 2006; Salvia, </w:t>
      </w:r>
      <w:proofErr w:type="spellStart"/>
      <w:r w:rsidRPr="000862EB">
        <w:rPr>
          <w:rFonts w:ascii="Times New Roman" w:hAnsi="Times New Roman" w:cs="Times New Roman"/>
          <w:sz w:val="24"/>
        </w:rPr>
        <w:t>Bonfiglio</w:t>
      </w:r>
      <w:proofErr w:type="spellEnd"/>
      <w:r w:rsidRPr="000862EB">
        <w:rPr>
          <w:rFonts w:ascii="Times New Roman" w:hAnsi="Times New Roman" w:cs="Times New Roman"/>
          <w:sz w:val="24"/>
        </w:rPr>
        <w:t xml:space="preserve">, </w:t>
      </w:r>
      <w:proofErr w:type="spellStart"/>
      <w:r w:rsidRPr="000862EB">
        <w:rPr>
          <w:rFonts w:ascii="Times New Roman" w:hAnsi="Times New Roman" w:cs="Times New Roman"/>
          <w:sz w:val="24"/>
        </w:rPr>
        <w:t>Tinoboras</w:t>
      </w:r>
      <w:proofErr w:type="spellEnd"/>
      <w:r w:rsidRPr="000862EB">
        <w:rPr>
          <w:rFonts w:ascii="Times New Roman" w:hAnsi="Times New Roman" w:cs="Times New Roman"/>
          <w:sz w:val="24"/>
        </w:rPr>
        <w:t xml:space="preserve"> y Van </w:t>
      </w:r>
      <w:proofErr w:type="spellStart"/>
      <w:r w:rsidRPr="000862EB">
        <w:rPr>
          <w:rFonts w:ascii="Times New Roman" w:hAnsi="Times New Roman" w:cs="Times New Roman"/>
          <w:sz w:val="24"/>
        </w:rPr>
        <w:t>Raap</w:t>
      </w:r>
      <w:proofErr w:type="spellEnd"/>
      <w:r w:rsidRPr="000862EB">
        <w:rPr>
          <w:rFonts w:ascii="Times New Roman" w:hAnsi="Times New Roman" w:cs="Times New Roman"/>
          <w:sz w:val="24"/>
        </w:rPr>
        <w:t xml:space="preserve">, 2007). Se ha podido constatar por ejemplo que el acceso a los empleos de mayor calidad depende fundamentalmente de posicionamientos de clase que se cristalizan en estructuras de oportunidades diferenciadas (Salvia et al 2008, Van </w:t>
      </w:r>
      <w:proofErr w:type="spellStart"/>
      <w:r w:rsidRPr="000862EB">
        <w:rPr>
          <w:rFonts w:ascii="Times New Roman" w:hAnsi="Times New Roman" w:cs="Times New Roman"/>
          <w:sz w:val="24"/>
        </w:rPr>
        <w:t>Raap</w:t>
      </w:r>
      <w:proofErr w:type="spellEnd"/>
      <w:r w:rsidRPr="000862EB">
        <w:rPr>
          <w:rFonts w:ascii="Times New Roman" w:hAnsi="Times New Roman" w:cs="Times New Roman"/>
          <w:sz w:val="24"/>
        </w:rPr>
        <w:t>,</w:t>
      </w:r>
      <w:r w:rsidRPr="000862EB">
        <w:rPr>
          <w:rFonts w:ascii="Times New Roman" w:hAnsi="Times New Roman" w:cs="Times New Roman"/>
          <w:color w:val="000000" w:themeColor="text1"/>
          <w:sz w:val="24"/>
        </w:rPr>
        <w:t xml:space="preserve"> 2010</w:t>
      </w:r>
      <w:r w:rsidRPr="000862EB">
        <w:rPr>
          <w:rFonts w:ascii="Times New Roman" w:hAnsi="Times New Roman" w:cs="Times New Roman"/>
          <w:sz w:val="24"/>
        </w:rPr>
        <w:t xml:space="preserve">). Los diferenciales socioeconómicos son de gran incidencia para que los jóvenes accedan y mantengan distintas condiciones ocupacionales a lo largo de sus trayectorias. </w:t>
      </w:r>
    </w:p>
    <w:p w:rsidR="000862EB" w:rsidRPr="000862EB" w:rsidRDefault="000862EB" w:rsidP="008C4038">
      <w:pPr>
        <w:autoSpaceDE w:val="0"/>
        <w:autoSpaceDN w:val="0"/>
        <w:adjustRightInd w:val="0"/>
        <w:spacing w:after="0" w:line="360" w:lineRule="auto"/>
        <w:ind w:firstLine="340"/>
        <w:jc w:val="both"/>
        <w:rPr>
          <w:rFonts w:ascii="Times New Roman" w:hAnsi="Times New Roman" w:cs="Times New Roman"/>
          <w:sz w:val="24"/>
        </w:rPr>
      </w:pPr>
      <w:r w:rsidRPr="000862EB">
        <w:rPr>
          <w:rFonts w:ascii="Times New Roman" w:hAnsi="Times New Roman" w:cs="Times New Roman"/>
          <w:sz w:val="24"/>
        </w:rPr>
        <w:t>Esta línea de investigación discute con quienes se posicionan sobre todo desde la oferta -como el enfoque de capital humano por ejemplo-, haciendo recaer sobre las capacidades de los jóvenes la causa de las desventajas ocupacionales. Bajo esta línea argumental las falencias del sistema educativo se vuelven importantes para pensar el desajuste de las capacidades de los jóvenes con la demanda laboral; la escolaridad contribuiría a promover el empleo y a distribuir el ingreso de forma más equitativa</w:t>
      </w:r>
      <w:r>
        <w:rPr>
          <w:rStyle w:val="Refdenotaalpie"/>
          <w:rFonts w:ascii="Times New Roman" w:hAnsi="Times New Roman" w:cs="Times New Roman"/>
          <w:sz w:val="24"/>
        </w:rPr>
        <w:footnoteReference w:id="7"/>
      </w:r>
      <w:r w:rsidRPr="000862EB">
        <w:rPr>
          <w:rFonts w:ascii="Times New Roman" w:hAnsi="Times New Roman" w:cs="Times New Roman"/>
          <w:sz w:val="24"/>
        </w:rPr>
        <w:t>.</w:t>
      </w:r>
      <w:r w:rsidRPr="00BF0AD9">
        <w:rPr>
          <w:rFonts w:ascii="Times New Roman" w:hAnsi="Times New Roman" w:cs="Times New Roman"/>
          <w:sz w:val="24"/>
        </w:rPr>
        <w:t xml:space="preserve"> </w:t>
      </w:r>
      <w:r w:rsidR="00BF0AD9" w:rsidRPr="00BF0AD9">
        <w:rPr>
          <w:rFonts w:ascii="Times New Roman" w:hAnsi="Times New Roman" w:cs="Times New Roman"/>
          <w:sz w:val="24"/>
        </w:rPr>
        <w:t>S</w:t>
      </w:r>
      <w:r w:rsidR="00BF0AD9">
        <w:rPr>
          <w:rFonts w:ascii="Times New Roman" w:hAnsi="Times New Roman" w:cs="Times New Roman"/>
          <w:sz w:val="24"/>
        </w:rPr>
        <w:t xml:space="preserve">e cuestiona aquí </w:t>
      </w:r>
      <w:r w:rsidRPr="000862EB">
        <w:rPr>
          <w:rFonts w:ascii="Times New Roman" w:hAnsi="Times New Roman" w:cs="Times New Roman"/>
          <w:sz w:val="24"/>
        </w:rPr>
        <w:t xml:space="preserve">suponer que la solución se encuentra en los niveles educativos alcanzados, ya que jóvenes con iguales credenciales educativas acceden a empleos de </w:t>
      </w:r>
      <w:r w:rsidRPr="000862EB">
        <w:rPr>
          <w:rFonts w:ascii="Times New Roman" w:hAnsi="Times New Roman" w:cs="Times New Roman"/>
          <w:sz w:val="24"/>
        </w:rPr>
        <w:lastRenderedPageBreak/>
        <w:t>diferente calidad según su posición social</w:t>
      </w:r>
      <w:r w:rsidR="007927FA">
        <w:rPr>
          <w:rFonts w:ascii="Times New Roman" w:hAnsi="Times New Roman" w:cs="Times New Roman"/>
          <w:sz w:val="24"/>
        </w:rPr>
        <w:t xml:space="preserve"> (</w:t>
      </w:r>
      <w:proofErr w:type="spellStart"/>
      <w:r w:rsidR="007927FA" w:rsidRPr="000862EB">
        <w:rPr>
          <w:rFonts w:ascii="Times New Roman" w:hAnsi="Times New Roman" w:cs="Times New Roman"/>
          <w:sz w:val="24"/>
        </w:rPr>
        <w:t>Bonfiglio</w:t>
      </w:r>
      <w:proofErr w:type="spellEnd"/>
      <w:r w:rsidR="007927FA" w:rsidRPr="000862EB">
        <w:rPr>
          <w:rFonts w:ascii="Times New Roman" w:hAnsi="Times New Roman" w:cs="Times New Roman"/>
          <w:sz w:val="24"/>
        </w:rPr>
        <w:t xml:space="preserve">, </w:t>
      </w:r>
      <w:proofErr w:type="spellStart"/>
      <w:r w:rsidR="007927FA" w:rsidRPr="000862EB">
        <w:rPr>
          <w:rFonts w:ascii="Times New Roman" w:hAnsi="Times New Roman" w:cs="Times New Roman"/>
          <w:sz w:val="24"/>
        </w:rPr>
        <w:t>Tinoboras</w:t>
      </w:r>
      <w:proofErr w:type="spellEnd"/>
      <w:r w:rsidR="007927FA" w:rsidRPr="000862EB">
        <w:rPr>
          <w:rFonts w:ascii="Times New Roman" w:hAnsi="Times New Roman" w:cs="Times New Roman"/>
          <w:sz w:val="24"/>
        </w:rPr>
        <w:t xml:space="preserve"> y Van </w:t>
      </w:r>
      <w:proofErr w:type="spellStart"/>
      <w:r w:rsidR="007927FA" w:rsidRPr="000862EB">
        <w:rPr>
          <w:rFonts w:ascii="Times New Roman" w:hAnsi="Times New Roman" w:cs="Times New Roman"/>
          <w:sz w:val="24"/>
        </w:rPr>
        <w:t>Raap</w:t>
      </w:r>
      <w:proofErr w:type="spellEnd"/>
      <w:r w:rsidR="007927FA" w:rsidRPr="000862EB">
        <w:rPr>
          <w:rFonts w:ascii="Times New Roman" w:hAnsi="Times New Roman" w:cs="Times New Roman"/>
          <w:sz w:val="24"/>
        </w:rPr>
        <w:t>, 200</w:t>
      </w:r>
      <w:r w:rsidR="007927FA">
        <w:rPr>
          <w:rFonts w:ascii="Times New Roman" w:hAnsi="Times New Roman" w:cs="Times New Roman"/>
          <w:sz w:val="24"/>
        </w:rPr>
        <w:t>8)</w:t>
      </w:r>
      <w:r w:rsidRPr="000862EB">
        <w:rPr>
          <w:rFonts w:ascii="Times New Roman" w:hAnsi="Times New Roman" w:cs="Times New Roman"/>
          <w:sz w:val="24"/>
        </w:rPr>
        <w:t xml:space="preserve">, a la vez que esta dimensión no deja de ser importante para pensar en la reproducción de las brechas de desigualdad existentes. El sistema educativo se encuentra fragmentado sobre todo en </w:t>
      </w:r>
      <w:r w:rsidR="00015018">
        <w:rPr>
          <w:rFonts w:ascii="Times New Roman" w:hAnsi="Times New Roman" w:cs="Times New Roman"/>
          <w:sz w:val="24"/>
        </w:rPr>
        <w:t xml:space="preserve">la </w:t>
      </w:r>
      <w:r w:rsidRPr="000862EB">
        <w:rPr>
          <w:rFonts w:ascii="Times New Roman" w:hAnsi="Times New Roman" w:cs="Times New Roman"/>
          <w:sz w:val="24"/>
        </w:rPr>
        <w:t>región</w:t>
      </w:r>
      <w:r w:rsidR="00015018">
        <w:rPr>
          <w:rFonts w:ascii="Times New Roman" w:hAnsi="Times New Roman" w:cs="Times New Roman"/>
          <w:sz w:val="24"/>
        </w:rPr>
        <w:t xml:space="preserve"> latinoamericana</w:t>
      </w:r>
      <w:r w:rsidRPr="000862EB">
        <w:rPr>
          <w:rFonts w:ascii="Times New Roman" w:hAnsi="Times New Roman" w:cs="Times New Roman"/>
          <w:sz w:val="24"/>
        </w:rPr>
        <w:t xml:space="preserve">, dando como resultado diferencias de acceso y calidad de formación para los jóvenes de distintos estratos. Además, en términos coyunturales </w:t>
      </w:r>
      <w:r w:rsidR="007927FA">
        <w:rPr>
          <w:rFonts w:ascii="Times New Roman" w:hAnsi="Times New Roman" w:cs="Times New Roman"/>
          <w:sz w:val="24"/>
        </w:rPr>
        <w:t xml:space="preserve">es de importancia pensar </w:t>
      </w:r>
      <w:r w:rsidRPr="000862EB">
        <w:rPr>
          <w:rFonts w:ascii="Times New Roman" w:hAnsi="Times New Roman" w:cs="Times New Roman"/>
          <w:sz w:val="24"/>
        </w:rPr>
        <w:t xml:space="preserve">el capital social sobre los años de escolaridad, e incluso aspectos conflictivos de la contratación como la discriminación por género y etnia entre otras, cobrando relevancia en el análisis los fenómenos de segregación ocupacional, discriminación y desafiliación socio-institucional (Fernández, </w:t>
      </w:r>
      <w:proofErr w:type="spellStart"/>
      <w:r w:rsidRPr="000862EB">
        <w:rPr>
          <w:rFonts w:ascii="Times New Roman" w:hAnsi="Times New Roman" w:cs="Times New Roman"/>
          <w:sz w:val="24"/>
        </w:rPr>
        <w:t>Maurizio</w:t>
      </w:r>
      <w:proofErr w:type="spellEnd"/>
      <w:r w:rsidRPr="000862EB">
        <w:rPr>
          <w:rFonts w:ascii="Times New Roman" w:hAnsi="Times New Roman" w:cs="Times New Roman"/>
          <w:sz w:val="24"/>
        </w:rPr>
        <w:t xml:space="preserve"> y </w:t>
      </w:r>
      <w:proofErr w:type="spellStart"/>
      <w:r w:rsidRPr="000862EB">
        <w:rPr>
          <w:rFonts w:ascii="Times New Roman" w:hAnsi="Times New Roman" w:cs="Times New Roman"/>
          <w:sz w:val="24"/>
        </w:rPr>
        <w:t>Monsalvo</w:t>
      </w:r>
      <w:proofErr w:type="spellEnd"/>
      <w:r w:rsidRPr="000862EB">
        <w:rPr>
          <w:rFonts w:ascii="Times New Roman" w:hAnsi="Times New Roman" w:cs="Times New Roman"/>
          <w:sz w:val="24"/>
        </w:rPr>
        <w:t xml:space="preserve">, 2007, Sánchez 1992).  </w:t>
      </w:r>
      <w:r w:rsidR="00BF0AD9">
        <w:rPr>
          <w:rFonts w:ascii="Times New Roman" w:hAnsi="Times New Roman" w:cs="Times New Roman"/>
          <w:sz w:val="24"/>
        </w:rPr>
        <w:t>Se buscará poner en foco</w:t>
      </w:r>
      <w:r w:rsidRPr="000862EB">
        <w:rPr>
          <w:rFonts w:ascii="Times New Roman" w:hAnsi="Times New Roman" w:cs="Times New Roman"/>
          <w:sz w:val="24"/>
        </w:rPr>
        <w:t xml:space="preserve"> la existencia de un mercado laboral fragmentado que favorece a la integración de algunos a la vez que a la exclusión de otros, partiendo de condicionantes </w:t>
      </w:r>
      <w:r w:rsidR="007927FA">
        <w:rPr>
          <w:rFonts w:ascii="Times New Roman" w:hAnsi="Times New Roman" w:cs="Times New Roman"/>
          <w:sz w:val="24"/>
        </w:rPr>
        <w:t xml:space="preserve">socioeconómicos </w:t>
      </w:r>
      <w:r w:rsidRPr="000862EB">
        <w:rPr>
          <w:rFonts w:ascii="Times New Roman" w:hAnsi="Times New Roman" w:cs="Times New Roman"/>
          <w:sz w:val="24"/>
        </w:rPr>
        <w:t>estructurales. En este sentido coincid</w:t>
      </w:r>
      <w:r w:rsidR="00BF0AD9">
        <w:rPr>
          <w:rFonts w:ascii="Times New Roman" w:hAnsi="Times New Roman" w:cs="Times New Roman"/>
          <w:sz w:val="24"/>
        </w:rPr>
        <w:t>iremos</w:t>
      </w:r>
      <w:r w:rsidRPr="000862EB">
        <w:rPr>
          <w:rFonts w:ascii="Times New Roman" w:hAnsi="Times New Roman" w:cs="Times New Roman"/>
          <w:sz w:val="24"/>
        </w:rPr>
        <w:t xml:space="preserve"> con las perspectivas que hacen hincapié en la demanda laboral, analizando </w:t>
      </w:r>
      <w:r w:rsidR="007927FA">
        <w:rPr>
          <w:rFonts w:ascii="Times New Roman" w:hAnsi="Times New Roman" w:cs="Times New Roman"/>
          <w:sz w:val="24"/>
        </w:rPr>
        <w:t xml:space="preserve">el funcionamiento </w:t>
      </w:r>
      <w:r w:rsidRPr="000862EB">
        <w:rPr>
          <w:rFonts w:ascii="Times New Roman" w:hAnsi="Times New Roman" w:cs="Times New Roman"/>
          <w:sz w:val="24"/>
        </w:rPr>
        <w:t>del mercado de trabajo (</w:t>
      </w:r>
      <w:proofErr w:type="spellStart"/>
      <w:r w:rsidRPr="000862EB">
        <w:rPr>
          <w:rFonts w:ascii="Times New Roman" w:hAnsi="Times New Roman" w:cs="Times New Roman"/>
          <w:sz w:val="24"/>
        </w:rPr>
        <w:t>Bertranou</w:t>
      </w:r>
      <w:proofErr w:type="spellEnd"/>
      <w:r w:rsidRPr="000862EB">
        <w:rPr>
          <w:rFonts w:ascii="Times New Roman" w:hAnsi="Times New Roman" w:cs="Times New Roman"/>
          <w:sz w:val="24"/>
        </w:rPr>
        <w:t xml:space="preserve"> Casanova y </w:t>
      </w:r>
      <w:proofErr w:type="spellStart"/>
      <w:r w:rsidRPr="000862EB">
        <w:rPr>
          <w:rFonts w:ascii="Times New Roman" w:hAnsi="Times New Roman" w:cs="Times New Roman"/>
          <w:sz w:val="24"/>
        </w:rPr>
        <w:t>Jimenez</w:t>
      </w:r>
      <w:proofErr w:type="spellEnd"/>
      <w:r w:rsidRPr="000862EB">
        <w:rPr>
          <w:rFonts w:ascii="Times New Roman" w:hAnsi="Times New Roman" w:cs="Times New Roman"/>
          <w:sz w:val="24"/>
        </w:rPr>
        <w:t xml:space="preserve"> 2013, </w:t>
      </w:r>
      <w:proofErr w:type="spellStart"/>
      <w:r w:rsidRPr="000862EB">
        <w:rPr>
          <w:rFonts w:ascii="Times New Roman" w:hAnsi="Times New Roman" w:cs="Times New Roman"/>
          <w:sz w:val="24"/>
        </w:rPr>
        <w:t>Bertranou</w:t>
      </w:r>
      <w:proofErr w:type="spellEnd"/>
      <w:r w:rsidRPr="000862EB">
        <w:rPr>
          <w:rFonts w:ascii="Times New Roman" w:hAnsi="Times New Roman" w:cs="Times New Roman"/>
          <w:sz w:val="24"/>
        </w:rPr>
        <w:t xml:space="preserve"> y Casanova 2014, 2015, OIT 2015). </w:t>
      </w:r>
      <w:r w:rsidR="007927FA">
        <w:rPr>
          <w:rFonts w:ascii="Times New Roman" w:hAnsi="Times New Roman" w:cs="Times New Roman"/>
          <w:sz w:val="24"/>
        </w:rPr>
        <w:t>Es de esperar</w:t>
      </w:r>
      <w:r w:rsidRPr="000862EB">
        <w:rPr>
          <w:rFonts w:ascii="Times New Roman" w:hAnsi="Times New Roman" w:cs="Times New Roman"/>
          <w:sz w:val="24"/>
        </w:rPr>
        <w:t xml:space="preserve"> que el crecimiento en la actividad económica se correspond</w:t>
      </w:r>
      <w:r w:rsidR="007927FA">
        <w:rPr>
          <w:rFonts w:ascii="Times New Roman" w:hAnsi="Times New Roman" w:cs="Times New Roman"/>
          <w:sz w:val="24"/>
        </w:rPr>
        <w:t>a</w:t>
      </w:r>
      <w:r w:rsidRPr="000862EB">
        <w:rPr>
          <w:rFonts w:ascii="Times New Roman" w:hAnsi="Times New Roman" w:cs="Times New Roman"/>
          <w:sz w:val="24"/>
        </w:rPr>
        <w:t xml:space="preserve"> con el aumento en las tasas de actividad y empleo, así como una crisis económica afecta a los indicadores laborales en sentido contrario. Sin embargo, las fluctuaciones de la economía no repercuten de igual modo sobre todos los trabajadores. La evolución del empleo de los adultos es más estable respecto a las variaciones del PBI que la evolución del empleo joven, estos asumen la mayor carga de las variaciones cíclicas del desempleo</w:t>
      </w:r>
      <w:r w:rsidR="007927FA">
        <w:rPr>
          <w:rFonts w:ascii="Times New Roman" w:hAnsi="Times New Roman" w:cs="Times New Roman"/>
          <w:sz w:val="24"/>
        </w:rPr>
        <w:t xml:space="preserve"> (</w:t>
      </w:r>
      <w:proofErr w:type="spellStart"/>
      <w:r w:rsidR="001B36FD">
        <w:rPr>
          <w:rFonts w:ascii="Times New Roman" w:hAnsi="Times New Roman" w:cs="Times New Roman"/>
          <w:sz w:val="24"/>
        </w:rPr>
        <w:t>Tokman</w:t>
      </w:r>
      <w:proofErr w:type="spellEnd"/>
      <w:r w:rsidR="001B36FD">
        <w:rPr>
          <w:rFonts w:ascii="Times New Roman" w:hAnsi="Times New Roman" w:cs="Times New Roman"/>
          <w:sz w:val="24"/>
        </w:rPr>
        <w:t xml:space="preserve"> 2003, </w:t>
      </w:r>
      <w:r w:rsidR="007927FA" w:rsidRPr="001B36FD">
        <w:rPr>
          <w:rFonts w:ascii="Times New Roman" w:hAnsi="Times New Roman" w:cs="Times New Roman"/>
          <w:sz w:val="24"/>
        </w:rPr>
        <w:t>Pé</w:t>
      </w:r>
      <w:r w:rsidR="001B36FD" w:rsidRPr="001B36FD">
        <w:rPr>
          <w:rFonts w:ascii="Times New Roman" w:hAnsi="Times New Roman" w:cs="Times New Roman"/>
          <w:sz w:val="24"/>
        </w:rPr>
        <w:t>rez 2008</w:t>
      </w:r>
      <w:r w:rsidR="001B36FD">
        <w:rPr>
          <w:rFonts w:ascii="Times New Roman" w:hAnsi="Times New Roman" w:cs="Times New Roman"/>
          <w:sz w:val="24"/>
        </w:rPr>
        <w:t>)</w:t>
      </w:r>
      <w:r w:rsidRPr="000862EB">
        <w:rPr>
          <w:rFonts w:ascii="Times New Roman" w:hAnsi="Times New Roman" w:cs="Times New Roman"/>
          <w:sz w:val="24"/>
        </w:rPr>
        <w:t xml:space="preserve">. Este abordaje invita a reflexionar en torno a la vulnerabilidad de los jóvenes sin perder de vista el contexto de flexibilización y precarización laboral, con altas tasas de desempleo informal. </w:t>
      </w:r>
    </w:p>
    <w:p w:rsidR="001B36FD" w:rsidRDefault="000862EB" w:rsidP="008C4038">
      <w:pPr>
        <w:autoSpaceDE w:val="0"/>
        <w:autoSpaceDN w:val="0"/>
        <w:adjustRightInd w:val="0"/>
        <w:spacing w:after="0" w:line="360" w:lineRule="auto"/>
        <w:ind w:firstLine="340"/>
        <w:jc w:val="both"/>
        <w:rPr>
          <w:rFonts w:ascii="Times New Roman" w:hAnsi="Times New Roman" w:cs="Times New Roman"/>
          <w:sz w:val="24"/>
        </w:rPr>
      </w:pPr>
      <w:r w:rsidRPr="000862EB">
        <w:rPr>
          <w:rFonts w:ascii="Times New Roman" w:hAnsi="Times New Roman" w:cs="Times New Roman"/>
          <w:sz w:val="24"/>
        </w:rPr>
        <w:t>Además, se retoman una serie de investigaciones que ensayaron explicaciones basadas en el cruce entre oferta y demanda de empleo, poniendo el acento en condiciones coyunturales</w:t>
      </w:r>
      <w:r w:rsidR="001B36FD">
        <w:rPr>
          <w:rFonts w:ascii="Times New Roman" w:hAnsi="Times New Roman" w:cs="Times New Roman"/>
          <w:sz w:val="24"/>
        </w:rPr>
        <w:t xml:space="preserve">. Estos estudios por ejemplo invitan </w:t>
      </w:r>
      <w:r w:rsidRPr="000862EB">
        <w:rPr>
          <w:rFonts w:ascii="Times New Roman" w:hAnsi="Times New Roman" w:cs="Times New Roman"/>
          <w:sz w:val="24"/>
        </w:rPr>
        <w:t xml:space="preserve">a pensar el acceso a puestos más inestables </w:t>
      </w:r>
      <w:r w:rsidR="001B36FD">
        <w:rPr>
          <w:rFonts w:ascii="Times New Roman" w:hAnsi="Times New Roman" w:cs="Times New Roman"/>
          <w:sz w:val="24"/>
        </w:rPr>
        <w:t>-</w:t>
      </w:r>
      <w:r w:rsidRPr="000862EB">
        <w:rPr>
          <w:rFonts w:ascii="Times New Roman" w:hAnsi="Times New Roman" w:cs="Times New Roman"/>
          <w:sz w:val="24"/>
        </w:rPr>
        <w:t>principalmente aquellos no cubiertos por la seguridad social</w:t>
      </w:r>
      <w:r w:rsidR="001B36FD">
        <w:rPr>
          <w:rFonts w:ascii="Times New Roman" w:hAnsi="Times New Roman" w:cs="Times New Roman"/>
          <w:sz w:val="24"/>
        </w:rPr>
        <w:t>- incentivado</w:t>
      </w:r>
      <w:r w:rsidRPr="000862EB">
        <w:rPr>
          <w:rFonts w:ascii="Times New Roman" w:hAnsi="Times New Roman" w:cs="Times New Roman"/>
          <w:sz w:val="24"/>
        </w:rPr>
        <w:t xml:space="preserve"> por los altos costos de formación que implica contratar a los jóvenes en puestos que requieran mayor inversión en capacitación o entrenamiento, sobre todo si no cuentan con experiencia laboral previa. Esto además se debe en gran medida a que están sobre</w:t>
      </w:r>
      <w:r w:rsidR="001B36FD">
        <w:rPr>
          <w:rFonts w:ascii="Times New Roman" w:hAnsi="Times New Roman" w:cs="Times New Roman"/>
          <w:sz w:val="24"/>
        </w:rPr>
        <w:t xml:space="preserve">-representados entre los ingresantes </w:t>
      </w:r>
      <w:r w:rsidRPr="000862EB">
        <w:rPr>
          <w:rFonts w:ascii="Times New Roman" w:hAnsi="Times New Roman" w:cs="Times New Roman"/>
          <w:sz w:val="24"/>
        </w:rPr>
        <w:t>al mercado de trabajo (Pérez, 2006)</w:t>
      </w:r>
      <w:r w:rsidR="00BF0AD9">
        <w:rPr>
          <w:rFonts w:ascii="Times New Roman" w:hAnsi="Times New Roman" w:cs="Times New Roman"/>
          <w:sz w:val="24"/>
        </w:rPr>
        <w:t>.</w:t>
      </w:r>
      <w:r w:rsidRPr="000862EB">
        <w:rPr>
          <w:rFonts w:ascii="Times New Roman" w:hAnsi="Times New Roman" w:cs="Times New Roman"/>
          <w:sz w:val="24"/>
        </w:rPr>
        <w:t xml:space="preserve"> </w:t>
      </w:r>
      <w:r w:rsidR="00BF0AD9">
        <w:rPr>
          <w:rFonts w:ascii="Times New Roman" w:hAnsi="Times New Roman" w:cs="Times New Roman"/>
          <w:sz w:val="24"/>
        </w:rPr>
        <w:t xml:space="preserve">Asimismo, se </w:t>
      </w:r>
      <w:r w:rsidRPr="000862EB">
        <w:rPr>
          <w:rFonts w:ascii="Times New Roman" w:hAnsi="Times New Roman" w:cs="Times New Roman"/>
          <w:sz w:val="24"/>
        </w:rPr>
        <w:t xml:space="preserve">plantea un desarreglo con las expectativas de los jóvenes que debe tenerse en cuenta, por ejemplo, pensar la mayor rotación asociada a la propia elección del trabajador de desempeñarse en ocupaciones que resultan más inestables pero que tienen otros atributos que son </w:t>
      </w:r>
      <w:r w:rsidRPr="000862EB">
        <w:rPr>
          <w:rFonts w:ascii="Times New Roman" w:hAnsi="Times New Roman" w:cs="Times New Roman"/>
          <w:sz w:val="24"/>
        </w:rPr>
        <w:lastRenderedPageBreak/>
        <w:t>valorados por los más jóvenes (</w:t>
      </w:r>
      <w:proofErr w:type="spellStart"/>
      <w:r w:rsidRPr="000862EB">
        <w:rPr>
          <w:rFonts w:ascii="Times New Roman" w:hAnsi="Times New Roman" w:cs="Times New Roman"/>
          <w:sz w:val="24"/>
        </w:rPr>
        <w:t>Rees</w:t>
      </w:r>
      <w:proofErr w:type="spellEnd"/>
      <w:r w:rsidRPr="000862EB">
        <w:rPr>
          <w:rFonts w:ascii="Times New Roman" w:hAnsi="Times New Roman" w:cs="Times New Roman"/>
          <w:sz w:val="24"/>
        </w:rPr>
        <w:t>, 1986, O´Higgins, 1997, entre otros)</w:t>
      </w:r>
      <w:r w:rsidRPr="00AD740E">
        <w:rPr>
          <w:rStyle w:val="Refdenotaalpie"/>
          <w:sz w:val="20"/>
          <w:szCs w:val="20"/>
        </w:rPr>
        <w:footnoteReference w:id="8"/>
      </w:r>
      <w:r w:rsidRPr="000862EB">
        <w:rPr>
          <w:rFonts w:ascii="Times New Roman" w:hAnsi="Times New Roman" w:cs="Times New Roman"/>
          <w:sz w:val="24"/>
        </w:rPr>
        <w:t xml:space="preserve">. En palabras de </w:t>
      </w:r>
      <w:proofErr w:type="spellStart"/>
      <w:r w:rsidRPr="000862EB">
        <w:rPr>
          <w:rFonts w:ascii="Times New Roman" w:hAnsi="Times New Roman" w:cs="Times New Roman"/>
          <w:sz w:val="24"/>
        </w:rPr>
        <w:t>Weller</w:t>
      </w:r>
      <w:proofErr w:type="spellEnd"/>
      <w:r w:rsidRPr="000862EB">
        <w:rPr>
          <w:rFonts w:ascii="Times New Roman" w:hAnsi="Times New Roman" w:cs="Times New Roman"/>
          <w:sz w:val="24"/>
        </w:rPr>
        <w:t xml:space="preserve"> (2003), los </w:t>
      </w:r>
      <w:r w:rsidRPr="000862EB">
        <w:rPr>
          <w:rFonts w:ascii="Times New Roman" w:hAnsi="Times New Roman" w:cs="Times New Roman"/>
          <w:i/>
          <w:sz w:val="24"/>
        </w:rPr>
        <w:t>“nuevos buscadores de empleo”</w:t>
      </w:r>
      <w:r w:rsidRPr="000862EB">
        <w:rPr>
          <w:rFonts w:ascii="Times New Roman" w:hAnsi="Times New Roman" w:cs="Times New Roman"/>
          <w:sz w:val="24"/>
        </w:rPr>
        <w:t xml:space="preserve"> son en su mayoría jóvenes, que se suman a la oferta laboral existente, y en momentos de crisis son los protagonistas junto con las mujeres, de lo que se denomina </w:t>
      </w:r>
      <w:r w:rsidRPr="000862EB">
        <w:rPr>
          <w:rFonts w:ascii="Times New Roman" w:hAnsi="Times New Roman" w:cs="Times New Roman"/>
          <w:i/>
          <w:sz w:val="24"/>
        </w:rPr>
        <w:t>“efecto del trabajador adicional”</w:t>
      </w:r>
      <w:r w:rsidRPr="000862EB">
        <w:rPr>
          <w:rFonts w:ascii="Times New Roman" w:hAnsi="Times New Roman" w:cs="Times New Roman"/>
          <w:sz w:val="24"/>
        </w:rPr>
        <w:t>, una estrategia para no ver disminuidos los ingresos familiares</w:t>
      </w:r>
      <w:r w:rsidR="00383E44">
        <w:rPr>
          <w:rFonts w:ascii="Times New Roman" w:hAnsi="Times New Roman" w:cs="Times New Roman"/>
          <w:sz w:val="24"/>
        </w:rPr>
        <w:t xml:space="preserve"> (</w:t>
      </w:r>
      <w:r w:rsidR="00383E44" w:rsidRPr="00383E44">
        <w:rPr>
          <w:rFonts w:ascii="Times New Roman" w:hAnsi="Times New Roman" w:cs="Times New Roman"/>
          <w:sz w:val="24"/>
        </w:rPr>
        <w:t xml:space="preserve">véase CEPAL 2011, 2014, </w:t>
      </w:r>
      <w:proofErr w:type="spellStart"/>
      <w:r w:rsidR="00383E44" w:rsidRPr="00383E44">
        <w:rPr>
          <w:rFonts w:ascii="Times New Roman" w:hAnsi="Times New Roman" w:cs="Times New Roman"/>
          <w:sz w:val="24"/>
        </w:rPr>
        <w:t>Maurizio</w:t>
      </w:r>
      <w:proofErr w:type="spellEnd"/>
      <w:r w:rsidR="00383E44" w:rsidRPr="00383E44">
        <w:rPr>
          <w:rFonts w:ascii="Times New Roman" w:hAnsi="Times New Roman" w:cs="Times New Roman"/>
          <w:sz w:val="24"/>
        </w:rPr>
        <w:t xml:space="preserve"> 2011, </w:t>
      </w:r>
      <w:proofErr w:type="spellStart"/>
      <w:r w:rsidR="00383E44" w:rsidRPr="00383E44">
        <w:rPr>
          <w:rFonts w:ascii="Times New Roman" w:hAnsi="Times New Roman" w:cs="Times New Roman"/>
          <w:sz w:val="24"/>
        </w:rPr>
        <w:t>Weller</w:t>
      </w:r>
      <w:proofErr w:type="spellEnd"/>
      <w:r w:rsidR="00383E44" w:rsidRPr="00383E44">
        <w:rPr>
          <w:rFonts w:ascii="Times New Roman" w:hAnsi="Times New Roman" w:cs="Times New Roman"/>
          <w:sz w:val="24"/>
        </w:rPr>
        <w:t xml:space="preserve"> 2005, 2006, entre otros)</w:t>
      </w:r>
      <w:r w:rsidR="001B36FD">
        <w:rPr>
          <w:rFonts w:ascii="Times New Roman" w:hAnsi="Times New Roman" w:cs="Times New Roman"/>
          <w:sz w:val="24"/>
        </w:rPr>
        <w:t xml:space="preserve">. </w:t>
      </w:r>
    </w:p>
    <w:p w:rsidR="000862EB" w:rsidRDefault="001B36FD" w:rsidP="008C4038">
      <w:pPr>
        <w:autoSpaceDE w:val="0"/>
        <w:autoSpaceDN w:val="0"/>
        <w:adjustRightInd w:val="0"/>
        <w:spacing w:after="0" w:line="360" w:lineRule="auto"/>
        <w:ind w:firstLine="340"/>
        <w:jc w:val="both"/>
        <w:rPr>
          <w:rFonts w:ascii="Times New Roman" w:hAnsi="Times New Roman" w:cs="Times New Roman"/>
          <w:sz w:val="24"/>
        </w:rPr>
      </w:pPr>
      <w:r>
        <w:rPr>
          <w:rFonts w:ascii="Times New Roman" w:hAnsi="Times New Roman" w:cs="Times New Roman"/>
          <w:sz w:val="24"/>
        </w:rPr>
        <w:t>De esta manera, l</w:t>
      </w:r>
      <w:r w:rsidR="000862EB" w:rsidRPr="000862EB">
        <w:rPr>
          <w:rFonts w:ascii="Times New Roman" w:hAnsi="Times New Roman" w:cs="Times New Roman"/>
          <w:sz w:val="24"/>
        </w:rPr>
        <w:t>os jóvenes continúan mayoritariamente ocupando puestos en el segmento secundario del mercado laboral, de mayor precarización, de menor calificación y estabilidad en la contratación exhibiendo una intermitencia ocupacional más elevada que los adultos (</w:t>
      </w:r>
      <w:proofErr w:type="spellStart"/>
      <w:r w:rsidR="000862EB" w:rsidRPr="000862EB">
        <w:rPr>
          <w:rFonts w:ascii="Times New Roman" w:hAnsi="Times New Roman" w:cs="Times New Roman"/>
          <w:sz w:val="24"/>
        </w:rPr>
        <w:t>Maurizio</w:t>
      </w:r>
      <w:proofErr w:type="spellEnd"/>
      <w:r w:rsidR="000862EB" w:rsidRPr="000862EB">
        <w:rPr>
          <w:rFonts w:ascii="Times New Roman" w:hAnsi="Times New Roman" w:cs="Times New Roman"/>
          <w:sz w:val="24"/>
        </w:rPr>
        <w:t xml:space="preserve">, 2011). </w:t>
      </w:r>
      <w:r>
        <w:rPr>
          <w:rFonts w:ascii="Times New Roman" w:hAnsi="Times New Roman" w:cs="Times New Roman"/>
          <w:sz w:val="24"/>
        </w:rPr>
        <w:t>Bajo el supuesto de que l</w:t>
      </w:r>
      <w:r w:rsidR="000862EB" w:rsidRPr="000862EB">
        <w:rPr>
          <w:rFonts w:ascii="Times New Roman" w:hAnsi="Times New Roman" w:cs="Times New Roman"/>
          <w:sz w:val="24"/>
        </w:rPr>
        <w:t xml:space="preserve">as características que asume el régimen social de acumulación en </w:t>
      </w:r>
      <w:r>
        <w:rPr>
          <w:rFonts w:ascii="Times New Roman" w:hAnsi="Times New Roman" w:cs="Times New Roman"/>
          <w:sz w:val="24"/>
        </w:rPr>
        <w:t>Argentina</w:t>
      </w:r>
      <w:r w:rsidR="000862EB" w:rsidRPr="000862EB">
        <w:rPr>
          <w:rFonts w:ascii="Times New Roman" w:hAnsi="Times New Roman" w:cs="Times New Roman"/>
          <w:sz w:val="24"/>
        </w:rPr>
        <w:t xml:space="preserve"> generan oportunidades diferenciales respecto a la población de adultos y también al</w:t>
      </w:r>
      <w:r>
        <w:rPr>
          <w:rFonts w:ascii="Times New Roman" w:hAnsi="Times New Roman" w:cs="Times New Roman"/>
          <w:sz w:val="24"/>
        </w:rPr>
        <w:t xml:space="preserve"> interior del grupo de jóvenes</w:t>
      </w:r>
      <w:r w:rsidR="000862EB" w:rsidRPr="000862EB">
        <w:rPr>
          <w:rFonts w:ascii="Times New Roman" w:hAnsi="Times New Roman" w:cs="Times New Roman"/>
          <w:sz w:val="24"/>
        </w:rPr>
        <w:t xml:space="preserve"> retomaremos aquí el concepto de heterogeneidad estructural (Pinto 1970, </w:t>
      </w:r>
      <w:proofErr w:type="spellStart"/>
      <w:r w:rsidR="000862EB" w:rsidRPr="000862EB">
        <w:rPr>
          <w:rFonts w:ascii="Times New Roman" w:hAnsi="Times New Roman" w:cs="Times New Roman"/>
          <w:sz w:val="24"/>
        </w:rPr>
        <w:t>Prebisch</w:t>
      </w:r>
      <w:proofErr w:type="spellEnd"/>
      <w:r w:rsidR="000862EB" w:rsidRPr="000862EB">
        <w:rPr>
          <w:rFonts w:ascii="Times New Roman" w:hAnsi="Times New Roman" w:cs="Times New Roman"/>
          <w:sz w:val="24"/>
        </w:rPr>
        <w:t xml:space="preserve">, 1976, CEPAL 2010, </w:t>
      </w:r>
      <w:proofErr w:type="spellStart"/>
      <w:r w:rsidR="000862EB" w:rsidRPr="000862EB">
        <w:rPr>
          <w:rFonts w:ascii="Times New Roman" w:hAnsi="Times New Roman" w:cs="Times New Roman"/>
          <w:sz w:val="24"/>
        </w:rPr>
        <w:t>Cimoli</w:t>
      </w:r>
      <w:proofErr w:type="spellEnd"/>
      <w:r w:rsidR="000862EB" w:rsidRPr="000862EB">
        <w:rPr>
          <w:rFonts w:ascii="Times New Roman" w:hAnsi="Times New Roman" w:cs="Times New Roman"/>
          <w:sz w:val="24"/>
        </w:rPr>
        <w:t>, 2005, Infante 2011, Salvia</w:t>
      </w:r>
      <w:r>
        <w:rPr>
          <w:rFonts w:ascii="Times New Roman" w:hAnsi="Times New Roman" w:cs="Times New Roman"/>
          <w:sz w:val="24"/>
        </w:rPr>
        <w:t>, 2012, Salvia</w:t>
      </w:r>
      <w:r w:rsidR="007236CE">
        <w:rPr>
          <w:rFonts w:ascii="Times New Roman" w:hAnsi="Times New Roman" w:cs="Times New Roman"/>
          <w:sz w:val="24"/>
        </w:rPr>
        <w:t>,</w:t>
      </w:r>
      <w:r>
        <w:rPr>
          <w:rFonts w:ascii="Times New Roman" w:hAnsi="Times New Roman" w:cs="Times New Roman"/>
          <w:sz w:val="24"/>
        </w:rPr>
        <w:t xml:space="preserve"> Vera</w:t>
      </w:r>
      <w:r w:rsidR="007236CE">
        <w:rPr>
          <w:rFonts w:ascii="Times New Roman" w:hAnsi="Times New Roman" w:cs="Times New Roman"/>
          <w:sz w:val="24"/>
        </w:rPr>
        <w:t xml:space="preserve"> y</w:t>
      </w:r>
      <w:r>
        <w:rPr>
          <w:rFonts w:ascii="Times New Roman" w:hAnsi="Times New Roman" w:cs="Times New Roman"/>
          <w:sz w:val="24"/>
        </w:rPr>
        <w:t xml:space="preserve"> </w:t>
      </w:r>
      <w:proofErr w:type="spellStart"/>
      <w:r>
        <w:rPr>
          <w:rFonts w:ascii="Times New Roman" w:hAnsi="Times New Roman" w:cs="Times New Roman"/>
          <w:sz w:val="24"/>
        </w:rPr>
        <w:t>Poy</w:t>
      </w:r>
      <w:proofErr w:type="spellEnd"/>
      <w:r>
        <w:rPr>
          <w:rFonts w:ascii="Times New Roman" w:hAnsi="Times New Roman" w:cs="Times New Roman"/>
          <w:sz w:val="24"/>
        </w:rPr>
        <w:t xml:space="preserve">, 2015) </w:t>
      </w:r>
      <w:r w:rsidR="007236CE">
        <w:rPr>
          <w:rFonts w:ascii="Times New Roman" w:hAnsi="Times New Roman" w:cs="Times New Roman"/>
          <w:sz w:val="24"/>
        </w:rPr>
        <w:t xml:space="preserve">para analizar la </w:t>
      </w:r>
      <w:r w:rsidR="007236CE" w:rsidRPr="000862EB">
        <w:rPr>
          <w:rFonts w:ascii="Times New Roman" w:hAnsi="Times New Roman" w:cs="Times New Roman"/>
          <w:sz w:val="24"/>
        </w:rPr>
        <w:t>relación entre crecimiento y desigualdad durante la actual fase de desarrollo</w:t>
      </w:r>
      <w:r w:rsidR="007236CE">
        <w:rPr>
          <w:rFonts w:ascii="Times New Roman" w:hAnsi="Times New Roman" w:cs="Times New Roman"/>
          <w:sz w:val="24"/>
        </w:rPr>
        <w:t xml:space="preserve"> capitalista mundial. La heterogeneidad estructural</w:t>
      </w:r>
      <w:r>
        <w:rPr>
          <w:rFonts w:ascii="Times New Roman" w:hAnsi="Times New Roman" w:cs="Times New Roman"/>
          <w:sz w:val="24"/>
        </w:rPr>
        <w:t xml:space="preserve"> p</w:t>
      </w:r>
      <w:r w:rsidR="000862EB" w:rsidRPr="000862EB">
        <w:rPr>
          <w:rFonts w:ascii="Times New Roman" w:hAnsi="Times New Roman" w:cs="Times New Roman"/>
          <w:sz w:val="24"/>
        </w:rPr>
        <w:t>uede definirse como una situación en la cual, entre los sectores de la economía e incluso al interior de los mismos, se evidencian amplias diferencias en cuanto a los niveles de productividad del trabajo, provocando una profunda segmentación del sistema productivo y del merca</w:t>
      </w:r>
      <w:r w:rsidR="007236CE">
        <w:rPr>
          <w:rFonts w:ascii="Times New Roman" w:hAnsi="Times New Roman" w:cs="Times New Roman"/>
          <w:sz w:val="24"/>
        </w:rPr>
        <w:t xml:space="preserve">do laboral </w:t>
      </w:r>
      <w:r w:rsidR="000862EB" w:rsidRPr="000862EB">
        <w:rPr>
          <w:rFonts w:ascii="Times New Roman" w:hAnsi="Times New Roman" w:cs="Times New Roman"/>
          <w:sz w:val="24"/>
        </w:rPr>
        <w:t>que alcanzan condiciones tecnológicas y de remuneración disímiles. En este contexto los sectores más dinámicos tienden a concentrarse y a no difundir sus avances tecnológicos, siendo imposible absorber al conjunto de fuerza de trabajo disponible en la sociedad. De esta forma una parte significativa del empleo se concentra en sec</w:t>
      </w:r>
      <w:r w:rsidR="007236CE">
        <w:rPr>
          <w:rFonts w:ascii="Times New Roman" w:hAnsi="Times New Roman" w:cs="Times New Roman"/>
          <w:sz w:val="24"/>
        </w:rPr>
        <w:t>tores de muy baja productividad.</w:t>
      </w:r>
      <w:r w:rsidR="000862EB" w:rsidRPr="000862EB">
        <w:rPr>
          <w:rFonts w:ascii="Times New Roman" w:hAnsi="Times New Roman" w:cs="Times New Roman"/>
          <w:sz w:val="24"/>
        </w:rPr>
        <w:t xml:space="preserve"> Numerosos trabajadores quedan excluidos del mercado laboral, crean sus propios empleos en actividades de poca productividad o ingresan en programas de asistencia estatales. Dichos excedentes no necesariamente son “funcionales” al proceso de acumulación del sector más dinámico de la economía, por lo que algunos enfoques consideran que pasarían a formar parte de una “masa marginal” con respecto a dichas relaciones sociales de producción, siendo fundamental su control social para evitar efectos disfuncionales a nivel sistémico (</w:t>
      </w:r>
      <w:proofErr w:type="spellStart"/>
      <w:r w:rsidR="000862EB" w:rsidRPr="000862EB">
        <w:rPr>
          <w:rFonts w:ascii="Times New Roman" w:hAnsi="Times New Roman" w:cs="Times New Roman"/>
          <w:sz w:val="24"/>
        </w:rPr>
        <w:t>Nun</w:t>
      </w:r>
      <w:proofErr w:type="spellEnd"/>
      <w:r w:rsidR="000862EB" w:rsidRPr="000862EB">
        <w:rPr>
          <w:rFonts w:ascii="Times New Roman" w:hAnsi="Times New Roman" w:cs="Times New Roman"/>
          <w:sz w:val="24"/>
        </w:rPr>
        <w:t xml:space="preserve"> 1969, 1999, Salvia 2012). </w:t>
      </w:r>
      <w:r w:rsidR="00492B40">
        <w:rPr>
          <w:rFonts w:ascii="Times New Roman" w:hAnsi="Times New Roman" w:cs="Times New Roman"/>
          <w:sz w:val="24"/>
        </w:rPr>
        <w:t>Resulta sugerente la especificidad de la heterogeneidad estructural en el grupo de jóvenes debido a la mayor vulnerabilidad</w:t>
      </w:r>
      <w:r w:rsidR="007236CE">
        <w:rPr>
          <w:rFonts w:ascii="Times New Roman" w:hAnsi="Times New Roman" w:cs="Times New Roman"/>
          <w:sz w:val="24"/>
        </w:rPr>
        <w:t xml:space="preserve"> </w:t>
      </w:r>
      <w:r w:rsidR="00C30519">
        <w:rPr>
          <w:rFonts w:ascii="Times New Roman" w:hAnsi="Times New Roman" w:cs="Times New Roman"/>
          <w:sz w:val="24"/>
        </w:rPr>
        <w:t xml:space="preserve">que presenta </w:t>
      </w:r>
      <w:r w:rsidR="00C30519">
        <w:rPr>
          <w:rFonts w:ascii="Times New Roman" w:hAnsi="Times New Roman" w:cs="Times New Roman"/>
          <w:sz w:val="24"/>
        </w:rPr>
        <w:lastRenderedPageBreak/>
        <w:t xml:space="preserve">este conjunto de trabajadores. Para la mayoría de los jóvenes, los primeros pasos dentro del mundo laboral </w:t>
      </w:r>
      <w:r w:rsidR="00492B40">
        <w:rPr>
          <w:rFonts w:ascii="Times New Roman" w:hAnsi="Times New Roman" w:cs="Times New Roman"/>
          <w:sz w:val="24"/>
        </w:rPr>
        <w:t>se</w:t>
      </w:r>
      <w:r w:rsidR="00C30519">
        <w:rPr>
          <w:rFonts w:ascii="Times New Roman" w:hAnsi="Times New Roman" w:cs="Times New Roman"/>
          <w:sz w:val="24"/>
        </w:rPr>
        <w:t xml:space="preserve"> d</w:t>
      </w:r>
      <w:r w:rsidR="00492B40">
        <w:rPr>
          <w:rFonts w:ascii="Times New Roman" w:hAnsi="Times New Roman" w:cs="Times New Roman"/>
          <w:sz w:val="24"/>
        </w:rPr>
        <w:t xml:space="preserve">a en condiciones de mayor inestabilidad y precariedad, </w:t>
      </w:r>
      <w:r w:rsidR="00CF0F49">
        <w:rPr>
          <w:rFonts w:ascii="Times New Roman" w:hAnsi="Times New Roman" w:cs="Times New Roman"/>
          <w:sz w:val="24"/>
        </w:rPr>
        <w:t>en un escenario</w:t>
      </w:r>
      <w:r w:rsidR="00492B40">
        <w:rPr>
          <w:rFonts w:ascii="Times New Roman" w:hAnsi="Times New Roman" w:cs="Times New Roman"/>
          <w:sz w:val="24"/>
        </w:rPr>
        <w:t xml:space="preserve"> de desventaja</w:t>
      </w:r>
      <w:r w:rsidR="00C30519">
        <w:rPr>
          <w:rFonts w:ascii="Times New Roman" w:hAnsi="Times New Roman" w:cs="Times New Roman"/>
          <w:sz w:val="24"/>
        </w:rPr>
        <w:t>s</w:t>
      </w:r>
      <w:r w:rsidR="00492B40">
        <w:rPr>
          <w:rFonts w:ascii="Times New Roman" w:hAnsi="Times New Roman" w:cs="Times New Roman"/>
          <w:sz w:val="24"/>
        </w:rPr>
        <w:t xml:space="preserve"> en términos de oportunidades. </w:t>
      </w:r>
    </w:p>
    <w:p w:rsidR="004952C0" w:rsidRPr="000862EB" w:rsidRDefault="004952C0" w:rsidP="001B36FD">
      <w:pPr>
        <w:spacing w:line="360" w:lineRule="auto"/>
        <w:jc w:val="both"/>
        <w:rPr>
          <w:rFonts w:ascii="Times New Roman" w:hAnsi="Times New Roman" w:cs="Times New Roman"/>
          <w:sz w:val="24"/>
        </w:rPr>
      </w:pPr>
    </w:p>
    <w:p w:rsidR="00CF2C14" w:rsidRPr="000862EB" w:rsidRDefault="00F8438A" w:rsidP="00202565">
      <w:pPr>
        <w:pStyle w:val="Prrafodelista"/>
        <w:numPr>
          <w:ilvl w:val="0"/>
          <w:numId w:val="21"/>
        </w:numPr>
      </w:pPr>
      <w:r>
        <w:rPr>
          <w:rFonts w:ascii="Times New Roman" w:hAnsi="Times New Roman" w:cs="Times New Roman"/>
          <w:b/>
          <w:sz w:val="24"/>
        </w:rPr>
        <w:t xml:space="preserve">Neoliberalismo y </w:t>
      </w:r>
      <w:proofErr w:type="spellStart"/>
      <w:r>
        <w:rPr>
          <w:rFonts w:ascii="Times New Roman" w:hAnsi="Times New Roman" w:cs="Times New Roman"/>
          <w:b/>
          <w:sz w:val="24"/>
        </w:rPr>
        <w:t>neodesarrollismo</w:t>
      </w:r>
      <w:proofErr w:type="spellEnd"/>
      <w:r>
        <w:rPr>
          <w:rFonts w:ascii="Times New Roman" w:hAnsi="Times New Roman" w:cs="Times New Roman"/>
          <w:b/>
          <w:sz w:val="24"/>
        </w:rPr>
        <w:t xml:space="preserve"> ¿Qué sucedió con las inserciones laborales de los jóvenes?</w:t>
      </w:r>
    </w:p>
    <w:p w:rsidR="009B6ED3" w:rsidRDefault="000B724B" w:rsidP="008C4038">
      <w:pPr>
        <w:autoSpaceDE w:val="0"/>
        <w:autoSpaceDN w:val="0"/>
        <w:adjustRightInd w:val="0"/>
        <w:spacing w:after="0" w:line="360" w:lineRule="auto"/>
        <w:ind w:firstLine="340"/>
        <w:jc w:val="both"/>
        <w:rPr>
          <w:rFonts w:ascii="Times New Roman" w:hAnsi="Times New Roman" w:cs="Times New Roman"/>
          <w:sz w:val="24"/>
        </w:rPr>
      </w:pPr>
      <w:r>
        <w:rPr>
          <w:rFonts w:ascii="Times New Roman" w:hAnsi="Times New Roman" w:cs="Times New Roman"/>
          <w:sz w:val="24"/>
        </w:rPr>
        <w:t>Esbozando un recorrido por las mutaciones de l</w:t>
      </w:r>
      <w:r w:rsidR="001F4E56" w:rsidRPr="00474DBB">
        <w:rPr>
          <w:rFonts w:ascii="Times New Roman" w:hAnsi="Times New Roman" w:cs="Times New Roman"/>
          <w:sz w:val="24"/>
        </w:rPr>
        <w:t xml:space="preserve">as trayectorias de inclusión laboral para </w:t>
      </w:r>
      <w:r w:rsidR="0030622E">
        <w:rPr>
          <w:rFonts w:ascii="Times New Roman" w:hAnsi="Times New Roman" w:cs="Times New Roman"/>
          <w:sz w:val="24"/>
        </w:rPr>
        <w:t xml:space="preserve">los jóvenes en </w:t>
      </w:r>
      <w:r w:rsidR="00E72C88">
        <w:rPr>
          <w:rFonts w:ascii="Times New Roman" w:hAnsi="Times New Roman" w:cs="Times New Roman"/>
          <w:sz w:val="24"/>
        </w:rPr>
        <w:t>Argentina</w:t>
      </w:r>
      <w:r>
        <w:rPr>
          <w:rFonts w:ascii="Times New Roman" w:hAnsi="Times New Roman" w:cs="Times New Roman"/>
          <w:sz w:val="24"/>
        </w:rPr>
        <w:t xml:space="preserve">, </w:t>
      </w:r>
      <w:r w:rsidR="00E72C88">
        <w:rPr>
          <w:rFonts w:ascii="Times New Roman" w:hAnsi="Times New Roman" w:cs="Times New Roman"/>
          <w:sz w:val="24"/>
        </w:rPr>
        <w:t>en primer lugar, cabe señalar</w:t>
      </w:r>
      <w:r>
        <w:rPr>
          <w:rFonts w:ascii="Times New Roman" w:hAnsi="Times New Roman" w:cs="Times New Roman"/>
          <w:sz w:val="24"/>
        </w:rPr>
        <w:t xml:space="preserve"> el </w:t>
      </w:r>
      <w:r w:rsidR="001F4E56" w:rsidRPr="00474DBB">
        <w:rPr>
          <w:rFonts w:ascii="Times New Roman" w:hAnsi="Times New Roman" w:cs="Times New Roman"/>
          <w:sz w:val="24"/>
        </w:rPr>
        <w:t>fuerte deterioro</w:t>
      </w:r>
      <w:r>
        <w:rPr>
          <w:rFonts w:ascii="Times New Roman" w:hAnsi="Times New Roman" w:cs="Times New Roman"/>
          <w:sz w:val="24"/>
        </w:rPr>
        <w:t xml:space="preserve"> que experimentaron</w:t>
      </w:r>
      <w:r w:rsidR="001F4E56" w:rsidRPr="00474DBB">
        <w:rPr>
          <w:rFonts w:ascii="Times New Roman" w:hAnsi="Times New Roman" w:cs="Times New Roman"/>
          <w:sz w:val="24"/>
        </w:rPr>
        <w:t xml:space="preserve"> en el marco de las transformaciones socioeconómicas iniciadas hacia mediados de los años ´70 </w:t>
      </w:r>
      <w:r w:rsidR="00E72C88">
        <w:rPr>
          <w:rFonts w:ascii="Times New Roman" w:hAnsi="Times New Roman" w:cs="Times New Roman"/>
          <w:sz w:val="24"/>
        </w:rPr>
        <w:t>profundizadas</w:t>
      </w:r>
      <w:r>
        <w:rPr>
          <w:rFonts w:ascii="Times New Roman" w:hAnsi="Times New Roman" w:cs="Times New Roman"/>
          <w:sz w:val="24"/>
        </w:rPr>
        <w:t xml:space="preserve"> </w:t>
      </w:r>
      <w:r w:rsidR="001F4E56" w:rsidRPr="00474DBB">
        <w:rPr>
          <w:rFonts w:ascii="Times New Roman" w:hAnsi="Times New Roman" w:cs="Times New Roman"/>
          <w:sz w:val="24"/>
        </w:rPr>
        <w:t xml:space="preserve">durante la década de las reformas neoliberales de los ´90. El régimen macroeconómico neoliberal tuvo un efecto regresivo sobre los niveles de empleo y la equidad distributiva, sobre todo en el grupo de jóvenes, quienes inicialmente parecían tener un lugar privilegiado respecto a los adultos debido a los requerimientos del nuevo modelo de crecimiento (Miranda y Salvia 1998, Salvia y Tuñón 2002, </w:t>
      </w:r>
      <w:proofErr w:type="spellStart"/>
      <w:r w:rsidR="001F4E56" w:rsidRPr="00474DBB">
        <w:rPr>
          <w:rFonts w:ascii="Times New Roman" w:hAnsi="Times New Roman" w:cs="Times New Roman"/>
          <w:sz w:val="24"/>
        </w:rPr>
        <w:t>Tokman</w:t>
      </w:r>
      <w:proofErr w:type="spellEnd"/>
      <w:r w:rsidR="001F4E56" w:rsidRPr="00474DBB">
        <w:rPr>
          <w:rFonts w:ascii="Times New Roman" w:hAnsi="Times New Roman" w:cs="Times New Roman"/>
          <w:sz w:val="24"/>
        </w:rPr>
        <w:t xml:space="preserve"> 2003). </w:t>
      </w:r>
      <w:r w:rsidR="001F4E56" w:rsidRPr="0030622E">
        <w:rPr>
          <w:rFonts w:ascii="Times New Roman" w:hAnsi="Times New Roman" w:cs="Times New Roman"/>
          <w:sz w:val="24"/>
        </w:rPr>
        <w:t xml:space="preserve">Desde entonces, los jóvenes fueron registrando peores condiciones en el tipo de contratación, y </w:t>
      </w:r>
      <w:r w:rsidR="001717BC">
        <w:rPr>
          <w:rFonts w:ascii="Times New Roman" w:hAnsi="Times New Roman" w:cs="Times New Roman"/>
          <w:sz w:val="24"/>
        </w:rPr>
        <w:t>-</w:t>
      </w:r>
      <w:r w:rsidR="001F4E56" w:rsidRPr="0030622E">
        <w:rPr>
          <w:rFonts w:ascii="Times New Roman" w:hAnsi="Times New Roman" w:cs="Times New Roman"/>
          <w:sz w:val="24"/>
        </w:rPr>
        <w:t xml:space="preserve">a pesar de algunas mejoras con la recuperación económica de la </w:t>
      </w:r>
      <w:r w:rsidR="00C45B09">
        <w:rPr>
          <w:rFonts w:ascii="Times New Roman" w:hAnsi="Times New Roman" w:cs="Times New Roman"/>
          <w:sz w:val="24"/>
        </w:rPr>
        <w:t xml:space="preserve">post </w:t>
      </w:r>
      <w:r w:rsidR="000C0411">
        <w:rPr>
          <w:rFonts w:ascii="Times New Roman" w:hAnsi="Times New Roman" w:cs="Times New Roman"/>
          <w:sz w:val="24"/>
        </w:rPr>
        <w:t>convertibilidad</w:t>
      </w:r>
      <w:r w:rsidR="001717BC">
        <w:rPr>
          <w:rFonts w:ascii="Times New Roman" w:hAnsi="Times New Roman" w:cs="Times New Roman"/>
          <w:sz w:val="24"/>
        </w:rPr>
        <w:t>-</w:t>
      </w:r>
      <w:r w:rsidR="001F4E56" w:rsidRPr="0030622E">
        <w:rPr>
          <w:rFonts w:ascii="Times New Roman" w:hAnsi="Times New Roman" w:cs="Times New Roman"/>
          <w:sz w:val="24"/>
        </w:rPr>
        <w:t xml:space="preserve"> el</w:t>
      </w:r>
      <w:r w:rsidR="001F4E56" w:rsidRPr="00AE7D3F">
        <w:rPr>
          <w:rFonts w:ascii="Times New Roman" w:hAnsi="Times New Roman" w:cs="Times New Roman"/>
          <w:sz w:val="24"/>
        </w:rPr>
        <w:t xml:space="preserve"> </w:t>
      </w:r>
      <w:r w:rsidR="001F4E56" w:rsidRPr="0030622E">
        <w:rPr>
          <w:rFonts w:ascii="Times New Roman" w:hAnsi="Times New Roman" w:cs="Times New Roman"/>
          <w:sz w:val="24"/>
        </w:rPr>
        <w:t>escenario continúa siendo desalen</w:t>
      </w:r>
      <w:r w:rsidR="001C2CFA" w:rsidRPr="0030622E">
        <w:rPr>
          <w:rFonts w:ascii="Times New Roman" w:hAnsi="Times New Roman" w:cs="Times New Roman"/>
          <w:sz w:val="24"/>
        </w:rPr>
        <w:t>t</w:t>
      </w:r>
      <w:r w:rsidR="0030622E" w:rsidRPr="0030622E">
        <w:rPr>
          <w:rFonts w:ascii="Times New Roman" w:hAnsi="Times New Roman" w:cs="Times New Roman"/>
          <w:sz w:val="24"/>
        </w:rPr>
        <w:t>ador para este segmento social</w:t>
      </w:r>
      <w:r w:rsidR="001F4E56" w:rsidRPr="0030622E">
        <w:rPr>
          <w:rFonts w:ascii="Times New Roman" w:hAnsi="Times New Roman" w:cs="Times New Roman"/>
          <w:sz w:val="24"/>
        </w:rPr>
        <w:t xml:space="preserve"> (</w:t>
      </w:r>
      <w:proofErr w:type="spellStart"/>
      <w:r w:rsidR="001F4E56" w:rsidRPr="0030622E">
        <w:rPr>
          <w:rFonts w:ascii="Times New Roman" w:hAnsi="Times New Roman" w:cs="Times New Roman"/>
          <w:sz w:val="24"/>
        </w:rPr>
        <w:t>Beccaria</w:t>
      </w:r>
      <w:proofErr w:type="spellEnd"/>
      <w:r w:rsidR="001F4E56" w:rsidRPr="0030622E">
        <w:rPr>
          <w:rFonts w:ascii="Times New Roman" w:hAnsi="Times New Roman" w:cs="Times New Roman"/>
          <w:sz w:val="24"/>
        </w:rPr>
        <w:t xml:space="preserve"> 2005, </w:t>
      </w:r>
      <w:proofErr w:type="spellStart"/>
      <w:r w:rsidR="001F4E56" w:rsidRPr="0030622E">
        <w:rPr>
          <w:rFonts w:ascii="Times New Roman" w:hAnsi="Times New Roman" w:cs="Times New Roman"/>
          <w:sz w:val="24"/>
        </w:rPr>
        <w:t>Maurizio</w:t>
      </w:r>
      <w:proofErr w:type="spellEnd"/>
      <w:r w:rsidR="001F4E56" w:rsidRPr="0030622E">
        <w:rPr>
          <w:rFonts w:ascii="Times New Roman" w:hAnsi="Times New Roman" w:cs="Times New Roman"/>
          <w:sz w:val="24"/>
        </w:rPr>
        <w:t xml:space="preserve"> 2011, </w:t>
      </w:r>
      <w:proofErr w:type="spellStart"/>
      <w:r w:rsidR="001F4E56" w:rsidRPr="0030622E">
        <w:rPr>
          <w:rFonts w:ascii="Times New Roman" w:hAnsi="Times New Roman" w:cs="Times New Roman"/>
          <w:sz w:val="24"/>
        </w:rPr>
        <w:t>Benigni</w:t>
      </w:r>
      <w:proofErr w:type="spellEnd"/>
      <w:r w:rsidR="001F4E56" w:rsidRPr="0030622E">
        <w:rPr>
          <w:rFonts w:ascii="Times New Roman" w:hAnsi="Times New Roman" w:cs="Times New Roman"/>
          <w:sz w:val="24"/>
        </w:rPr>
        <w:t xml:space="preserve"> </w:t>
      </w:r>
      <w:proofErr w:type="spellStart"/>
      <w:r w:rsidR="001F4E56" w:rsidRPr="0030622E">
        <w:rPr>
          <w:rFonts w:ascii="Times New Roman" w:hAnsi="Times New Roman" w:cs="Times New Roman"/>
          <w:sz w:val="24"/>
        </w:rPr>
        <w:t>Schteingart</w:t>
      </w:r>
      <w:proofErr w:type="spellEnd"/>
      <w:r w:rsidR="001F4E56" w:rsidRPr="0030622E">
        <w:rPr>
          <w:rFonts w:ascii="Times New Roman" w:hAnsi="Times New Roman" w:cs="Times New Roman"/>
          <w:sz w:val="24"/>
        </w:rPr>
        <w:t xml:space="preserve"> 2011).</w:t>
      </w:r>
      <w:r w:rsidR="001F4E56" w:rsidRPr="00474DBB">
        <w:rPr>
          <w:rFonts w:ascii="Times New Roman" w:hAnsi="Times New Roman" w:cs="Times New Roman"/>
          <w:sz w:val="24"/>
        </w:rPr>
        <w:t xml:space="preserve"> </w:t>
      </w:r>
    </w:p>
    <w:p w:rsidR="004952C0" w:rsidRDefault="008755BA" w:rsidP="00753C56">
      <w:pPr>
        <w:autoSpaceDE w:val="0"/>
        <w:autoSpaceDN w:val="0"/>
        <w:adjustRightInd w:val="0"/>
        <w:spacing w:after="0" w:line="360" w:lineRule="auto"/>
        <w:ind w:firstLine="340"/>
        <w:jc w:val="both"/>
        <w:rPr>
          <w:rFonts w:ascii="Times New Roman" w:hAnsi="Times New Roman" w:cs="Times New Roman"/>
          <w:sz w:val="24"/>
        </w:rPr>
      </w:pPr>
      <w:r>
        <w:rPr>
          <w:rFonts w:ascii="Times New Roman" w:hAnsi="Times New Roman" w:cs="Times New Roman"/>
          <w:sz w:val="24"/>
        </w:rPr>
        <w:t>L</w:t>
      </w:r>
      <w:r w:rsidR="00E85958">
        <w:rPr>
          <w:rFonts w:ascii="Times New Roman" w:hAnsi="Times New Roman" w:cs="Times New Roman"/>
          <w:sz w:val="24"/>
        </w:rPr>
        <w:t>os siguientes gráficos</w:t>
      </w:r>
      <w:r w:rsidR="001717BC">
        <w:rPr>
          <w:rFonts w:ascii="Times New Roman" w:hAnsi="Times New Roman" w:cs="Times New Roman"/>
          <w:sz w:val="24"/>
        </w:rPr>
        <w:t xml:space="preserve"> exhiben</w:t>
      </w:r>
      <w:r w:rsidR="00E85958">
        <w:rPr>
          <w:rFonts w:ascii="Times New Roman" w:hAnsi="Times New Roman" w:cs="Times New Roman"/>
          <w:sz w:val="24"/>
        </w:rPr>
        <w:t xml:space="preserve"> los</w:t>
      </w:r>
      <w:r>
        <w:rPr>
          <w:rFonts w:ascii="Times New Roman" w:hAnsi="Times New Roman" w:cs="Times New Roman"/>
          <w:sz w:val="24"/>
        </w:rPr>
        <w:t xml:space="preserve"> datos de las tasas de</w:t>
      </w:r>
      <w:r w:rsidR="00E85958">
        <w:rPr>
          <w:rFonts w:ascii="Times New Roman" w:hAnsi="Times New Roman" w:cs="Times New Roman"/>
          <w:sz w:val="24"/>
        </w:rPr>
        <w:t xml:space="preserve"> desocupación y subocupación entre los jóvenes de 18 a 29 años y los adultos de 30 años o más </w:t>
      </w:r>
      <w:r w:rsidR="001717BC">
        <w:rPr>
          <w:rFonts w:ascii="Times New Roman" w:hAnsi="Times New Roman" w:cs="Times New Roman"/>
          <w:sz w:val="24"/>
        </w:rPr>
        <w:t>durante los periodos analizados</w:t>
      </w:r>
      <w:r w:rsidR="00E85958">
        <w:rPr>
          <w:rFonts w:ascii="Times New Roman" w:hAnsi="Times New Roman" w:cs="Times New Roman"/>
          <w:sz w:val="24"/>
        </w:rPr>
        <w:t>.</w:t>
      </w:r>
      <w:r w:rsidR="00BE2170">
        <w:rPr>
          <w:rFonts w:ascii="Times New Roman" w:hAnsi="Times New Roman" w:cs="Times New Roman"/>
          <w:sz w:val="24"/>
        </w:rPr>
        <w:t xml:space="preserve"> </w:t>
      </w:r>
      <w:r w:rsidR="001717BC">
        <w:rPr>
          <w:rFonts w:ascii="Times New Roman" w:hAnsi="Times New Roman" w:cs="Times New Roman"/>
          <w:sz w:val="24"/>
        </w:rPr>
        <w:t xml:space="preserve">La información presentada da cuenta de la desventaja </w:t>
      </w:r>
      <w:r w:rsidR="00E85958" w:rsidRPr="002B290F">
        <w:rPr>
          <w:rFonts w:ascii="Times New Roman" w:hAnsi="Times New Roman" w:cs="Times New Roman"/>
          <w:sz w:val="24"/>
        </w:rPr>
        <w:t>en</w:t>
      </w:r>
      <w:r w:rsidR="00BE2170">
        <w:rPr>
          <w:rFonts w:ascii="Times New Roman" w:hAnsi="Times New Roman" w:cs="Times New Roman"/>
          <w:sz w:val="24"/>
        </w:rPr>
        <w:t xml:space="preserve"> cuanto a la participación en</w:t>
      </w:r>
      <w:r w:rsidR="00E85958" w:rsidRPr="002B290F">
        <w:rPr>
          <w:rFonts w:ascii="Times New Roman" w:hAnsi="Times New Roman" w:cs="Times New Roman"/>
          <w:sz w:val="24"/>
        </w:rPr>
        <w:t xml:space="preserve"> el mercado laboral del grupo joven</w:t>
      </w:r>
      <w:r w:rsidR="001717BC">
        <w:rPr>
          <w:rFonts w:ascii="Times New Roman" w:hAnsi="Times New Roman" w:cs="Times New Roman"/>
          <w:sz w:val="24"/>
        </w:rPr>
        <w:t>,</w:t>
      </w:r>
      <w:r w:rsidR="000B724B">
        <w:rPr>
          <w:rFonts w:ascii="Times New Roman" w:hAnsi="Times New Roman" w:cs="Times New Roman"/>
          <w:sz w:val="24"/>
        </w:rPr>
        <w:t xml:space="preserve"> ya que</w:t>
      </w:r>
      <w:r w:rsidR="00E85958" w:rsidRPr="002B290F">
        <w:rPr>
          <w:rFonts w:ascii="Times New Roman" w:hAnsi="Times New Roman" w:cs="Times New Roman"/>
          <w:sz w:val="24"/>
        </w:rPr>
        <w:t xml:space="preserve"> se ubican para todos los años </w:t>
      </w:r>
      <w:r w:rsidR="001717BC">
        <w:rPr>
          <w:rFonts w:ascii="Times New Roman" w:hAnsi="Times New Roman" w:cs="Times New Roman"/>
          <w:sz w:val="24"/>
        </w:rPr>
        <w:t xml:space="preserve">por </w:t>
      </w:r>
      <w:r>
        <w:rPr>
          <w:rFonts w:ascii="Times New Roman" w:hAnsi="Times New Roman" w:cs="Times New Roman"/>
          <w:sz w:val="24"/>
        </w:rPr>
        <w:t>encima</w:t>
      </w:r>
      <w:r w:rsidR="001717BC">
        <w:rPr>
          <w:rFonts w:ascii="Times New Roman" w:hAnsi="Times New Roman" w:cs="Times New Roman"/>
          <w:sz w:val="24"/>
        </w:rPr>
        <w:t xml:space="preserve"> de las tasas de </w:t>
      </w:r>
      <w:r>
        <w:rPr>
          <w:rFonts w:ascii="Times New Roman" w:hAnsi="Times New Roman" w:cs="Times New Roman"/>
          <w:sz w:val="24"/>
        </w:rPr>
        <w:t>des</w:t>
      </w:r>
      <w:r w:rsidR="001717BC">
        <w:rPr>
          <w:rFonts w:ascii="Times New Roman" w:hAnsi="Times New Roman" w:cs="Times New Roman"/>
          <w:sz w:val="24"/>
        </w:rPr>
        <w:t xml:space="preserve">ocupación de los adultos, distanciándose aún más en los </w:t>
      </w:r>
      <w:r>
        <w:rPr>
          <w:rFonts w:ascii="Times New Roman" w:hAnsi="Times New Roman" w:cs="Times New Roman"/>
          <w:sz w:val="24"/>
        </w:rPr>
        <w:t>años cercanos a la crisis 2001 (Gráfico n° 1</w:t>
      </w:r>
      <w:r w:rsidR="000B724B">
        <w:rPr>
          <w:rFonts w:ascii="Times New Roman" w:hAnsi="Times New Roman" w:cs="Times New Roman"/>
          <w:sz w:val="24"/>
        </w:rPr>
        <w:t>)</w:t>
      </w:r>
      <w:r w:rsidR="000B724B" w:rsidRPr="002B290F">
        <w:rPr>
          <w:rFonts w:ascii="Times New Roman" w:hAnsi="Times New Roman" w:cs="Times New Roman"/>
          <w:sz w:val="24"/>
        </w:rPr>
        <w:t>.</w:t>
      </w:r>
      <w:r w:rsidR="000B724B">
        <w:rPr>
          <w:rFonts w:ascii="Times New Roman" w:hAnsi="Times New Roman" w:cs="Times New Roman"/>
          <w:sz w:val="24"/>
        </w:rPr>
        <w:t xml:space="preserve"> </w:t>
      </w:r>
      <w:r w:rsidR="009D6456">
        <w:rPr>
          <w:rFonts w:ascii="Times New Roman" w:hAnsi="Times New Roman" w:cs="Times New Roman"/>
          <w:sz w:val="24"/>
        </w:rPr>
        <w:t>Se puede observar la forma en que se replica la tendencia de los adultos, aunque siempre superándola en un mínimo de 5 puntos porcentuales (por ejemplo para los años 1992 y 2007), poni</w:t>
      </w:r>
      <w:r w:rsidR="00DB6BC3">
        <w:rPr>
          <w:rFonts w:ascii="Times New Roman" w:hAnsi="Times New Roman" w:cs="Times New Roman"/>
          <w:sz w:val="24"/>
        </w:rPr>
        <w:t>éndose en evidencia</w:t>
      </w:r>
      <w:r w:rsidR="009D6456">
        <w:rPr>
          <w:rFonts w:ascii="Times New Roman" w:hAnsi="Times New Roman" w:cs="Times New Roman"/>
          <w:sz w:val="24"/>
        </w:rPr>
        <w:t xml:space="preserve"> la particular dificultad que presenta este grupo en los momentos de recuperaci</w:t>
      </w:r>
      <w:r w:rsidR="00DB6BC3">
        <w:rPr>
          <w:rFonts w:ascii="Times New Roman" w:hAnsi="Times New Roman" w:cs="Times New Roman"/>
          <w:sz w:val="24"/>
        </w:rPr>
        <w:t>ón; por ejemplo al observar los años fina</w:t>
      </w:r>
      <w:r w:rsidR="00753C56">
        <w:rPr>
          <w:rFonts w:ascii="Times New Roman" w:hAnsi="Times New Roman" w:cs="Times New Roman"/>
          <w:sz w:val="24"/>
        </w:rPr>
        <w:t>les de la post convertibilidad.</w:t>
      </w:r>
    </w:p>
    <w:p w:rsidR="00753C56" w:rsidRDefault="00753C56" w:rsidP="00753C56">
      <w:pPr>
        <w:autoSpaceDE w:val="0"/>
        <w:autoSpaceDN w:val="0"/>
        <w:adjustRightInd w:val="0"/>
        <w:spacing w:after="0" w:line="360" w:lineRule="auto"/>
        <w:ind w:firstLine="340"/>
        <w:jc w:val="both"/>
        <w:rPr>
          <w:rFonts w:ascii="Times New Roman" w:hAnsi="Times New Roman" w:cs="Times New Roman"/>
        </w:rPr>
      </w:pPr>
    </w:p>
    <w:p w:rsidR="00CA25A3" w:rsidRDefault="00CA25A3" w:rsidP="00753C56">
      <w:pPr>
        <w:autoSpaceDE w:val="0"/>
        <w:autoSpaceDN w:val="0"/>
        <w:adjustRightInd w:val="0"/>
        <w:spacing w:after="0" w:line="360" w:lineRule="auto"/>
        <w:ind w:firstLine="340"/>
        <w:jc w:val="both"/>
        <w:rPr>
          <w:rFonts w:ascii="Times New Roman" w:hAnsi="Times New Roman" w:cs="Times New Roman"/>
        </w:rPr>
      </w:pPr>
    </w:p>
    <w:p w:rsidR="00CA25A3" w:rsidRDefault="00CA25A3" w:rsidP="00753C56">
      <w:pPr>
        <w:autoSpaceDE w:val="0"/>
        <w:autoSpaceDN w:val="0"/>
        <w:adjustRightInd w:val="0"/>
        <w:spacing w:after="0" w:line="360" w:lineRule="auto"/>
        <w:ind w:firstLine="340"/>
        <w:jc w:val="both"/>
        <w:rPr>
          <w:rFonts w:ascii="Times New Roman" w:hAnsi="Times New Roman" w:cs="Times New Roman"/>
        </w:rPr>
      </w:pPr>
    </w:p>
    <w:p w:rsidR="00CA25A3" w:rsidRDefault="00CA25A3" w:rsidP="00753C56">
      <w:pPr>
        <w:autoSpaceDE w:val="0"/>
        <w:autoSpaceDN w:val="0"/>
        <w:adjustRightInd w:val="0"/>
        <w:spacing w:after="0" w:line="360" w:lineRule="auto"/>
        <w:ind w:firstLine="340"/>
        <w:jc w:val="both"/>
        <w:rPr>
          <w:rFonts w:ascii="Times New Roman" w:hAnsi="Times New Roman" w:cs="Times New Roman"/>
        </w:rPr>
      </w:pPr>
    </w:p>
    <w:p w:rsidR="005F6A6F" w:rsidRPr="000C610C" w:rsidRDefault="00B61DEA" w:rsidP="00753C56">
      <w:pPr>
        <w:spacing w:line="240" w:lineRule="auto"/>
        <w:jc w:val="both"/>
        <w:rPr>
          <w:noProof/>
          <w:lang w:eastAsia="es-AR"/>
        </w:rPr>
      </w:pPr>
      <w:r w:rsidRPr="000C610C">
        <w:rPr>
          <w:rFonts w:ascii="Times New Roman" w:hAnsi="Times New Roman" w:cs="Times New Roman"/>
        </w:rPr>
        <w:lastRenderedPageBreak/>
        <w:t xml:space="preserve">Gráfico nº </w:t>
      </w:r>
      <w:r w:rsidR="00E94832" w:rsidRPr="000C610C">
        <w:rPr>
          <w:rFonts w:ascii="Times New Roman" w:hAnsi="Times New Roman" w:cs="Times New Roman"/>
        </w:rPr>
        <w:t>1</w:t>
      </w:r>
      <w:r w:rsidR="00520DAB" w:rsidRPr="000C610C">
        <w:rPr>
          <w:rFonts w:ascii="Times New Roman" w:hAnsi="Times New Roman" w:cs="Times New Roman"/>
        </w:rPr>
        <w:t xml:space="preserve">: </w:t>
      </w:r>
      <w:r w:rsidR="008A1D85" w:rsidRPr="000C610C">
        <w:rPr>
          <w:rFonts w:ascii="Times New Roman" w:hAnsi="Times New Roman" w:cs="Times New Roman"/>
        </w:rPr>
        <w:t>Tasas de desocupación</w:t>
      </w:r>
      <w:r w:rsidR="00234FBF" w:rsidRPr="000C610C">
        <w:rPr>
          <w:rFonts w:ascii="Times New Roman" w:hAnsi="Times New Roman" w:cs="Times New Roman"/>
        </w:rPr>
        <w:t xml:space="preserve"> sobre PEA</w:t>
      </w:r>
      <w:r w:rsidR="008A1D85" w:rsidRPr="000C610C">
        <w:rPr>
          <w:rFonts w:ascii="Times New Roman" w:hAnsi="Times New Roman" w:cs="Times New Roman"/>
        </w:rPr>
        <w:t xml:space="preserve"> por grupos de edad.</w:t>
      </w:r>
      <w:r w:rsidR="008A1D85" w:rsidRPr="000C610C">
        <w:rPr>
          <w:rFonts w:ascii="Times New Roman" w:hAnsi="Times New Roman" w:cs="Times New Roman"/>
          <w:sz w:val="24"/>
        </w:rPr>
        <w:t xml:space="preserve"> </w:t>
      </w:r>
      <w:r w:rsidR="005316BB" w:rsidRPr="000C610C">
        <w:rPr>
          <w:rFonts w:ascii="Times New Roman" w:hAnsi="Times New Roman" w:cs="Times New Roman"/>
        </w:rPr>
        <w:t>GBA</w:t>
      </w:r>
      <w:r w:rsidR="008A1D85" w:rsidRPr="000C610C">
        <w:rPr>
          <w:rFonts w:ascii="Times New Roman" w:hAnsi="Times New Roman" w:cs="Times New Roman"/>
        </w:rPr>
        <w:t xml:space="preserve"> 1992-2014.</w:t>
      </w:r>
    </w:p>
    <w:p w:rsidR="000C0411" w:rsidRDefault="00912252" w:rsidP="00753C56">
      <w:pPr>
        <w:spacing w:line="240" w:lineRule="auto"/>
        <w:jc w:val="both"/>
        <w:rPr>
          <w:rFonts w:ascii="Times New Roman" w:hAnsi="Times New Roman" w:cs="Times New Roman"/>
          <w:sz w:val="18"/>
        </w:rPr>
      </w:pPr>
      <w:r>
        <w:rPr>
          <w:noProof/>
          <w:lang w:val="es-ES" w:eastAsia="es-ES"/>
        </w:rPr>
        <w:drawing>
          <wp:inline distT="0" distB="0" distL="0" distR="0" wp14:anchorId="79D13DC2" wp14:editId="0651203E">
            <wp:extent cx="5570220" cy="2659380"/>
            <wp:effectExtent l="0" t="0" r="11430" b="7620"/>
            <wp:docPr id="4" name="Gráfico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15="http://schemas.microsoft.com/office/word/2012/wordml"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E7617C">
        <w:rPr>
          <w:rFonts w:ascii="Times New Roman" w:hAnsi="Times New Roman" w:cs="Times New Roman"/>
          <w:sz w:val="24"/>
        </w:rPr>
        <w:br/>
      </w:r>
      <w:r w:rsidR="00F953EE" w:rsidRPr="00695C78">
        <w:rPr>
          <w:rFonts w:ascii="Times New Roman" w:hAnsi="Times New Roman" w:cs="Times New Roman"/>
          <w:sz w:val="18"/>
        </w:rPr>
        <w:t>Fuente: Elaboración propia con base en la información procesada por el Programa Cambio Estructural y Desigualdad Social, IIGG-FCS-UBA a partir de la EPH, INDEC (Octubre de 1992, 1994, 1998, 2001 y cuartos trimestres de 2003, 2004, 2007, 2012 y 2014)</w:t>
      </w:r>
      <w:r w:rsidR="008A1D85" w:rsidRPr="00695C78">
        <w:rPr>
          <w:rFonts w:ascii="Times New Roman" w:hAnsi="Times New Roman" w:cs="Times New Roman"/>
          <w:sz w:val="18"/>
        </w:rPr>
        <w:t>.</w:t>
      </w:r>
    </w:p>
    <w:p w:rsidR="006822A4" w:rsidRPr="006822A4" w:rsidRDefault="006822A4" w:rsidP="00753C56">
      <w:pPr>
        <w:spacing w:line="240" w:lineRule="auto"/>
        <w:jc w:val="both"/>
        <w:rPr>
          <w:rFonts w:ascii="Times New Roman" w:hAnsi="Times New Roman" w:cs="Times New Roman"/>
          <w:sz w:val="18"/>
        </w:rPr>
      </w:pPr>
    </w:p>
    <w:p w:rsidR="0034287A" w:rsidRDefault="00F6761C" w:rsidP="00753C56">
      <w:pPr>
        <w:autoSpaceDE w:val="0"/>
        <w:autoSpaceDN w:val="0"/>
        <w:adjustRightInd w:val="0"/>
        <w:spacing w:after="0" w:line="360" w:lineRule="auto"/>
        <w:ind w:firstLine="340"/>
        <w:jc w:val="both"/>
        <w:rPr>
          <w:rFonts w:ascii="Times New Roman" w:hAnsi="Times New Roman" w:cs="Times New Roman"/>
          <w:sz w:val="24"/>
        </w:rPr>
      </w:pPr>
      <w:r w:rsidRPr="00AE7558">
        <w:rPr>
          <w:rFonts w:ascii="Times New Roman" w:hAnsi="Times New Roman" w:cs="Times New Roman"/>
          <w:sz w:val="24"/>
        </w:rPr>
        <w:t>Respecto</w:t>
      </w:r>
      <w:r w:rsidR="005F6A6F" w:rsidRPr="00AE7558">
        <w:rPr>
          <w:rFonts w:ascii="Times New Roman" w:hAnsi="Times New Roman" w:cs="Times New Roman"/>
          <w:sz w:val="24"/>
        </w:rPr>
        <w:t xml:space="preserve"> a la subocupación (Gráfico n° 2</w:t>
      </w:r>
      <w:r w:rsidRPr="00AE7558">
        <w:rPr>
          <w:rFonts w:ascii="Times New Roman" w:hAnsi="Times New Roman" w:cs="Times New Roman"/>
          <w:sz w:val="24"/>
        </w:rPr>
        <w:t xml:space="preserve">) </w:t>
      </w:r>
      <w:r w:rsidR="001024F7" w:rsidRPr="00AE7558">
        <w:rPr>
          <w:rFonts w:ascii="Times New Roman" w:hAnsi="Times New Roman" w:cs="Times New Roman"/>
          <w:sz w:val="24"/>
        </w:rPr>
        <w:t xml:space="preserve">las tendencias entre ambos grupos de edad son similares. </w:t>
      </w:r>
      <w:r w:rsidR="003456B2" w:rsidRPr="00AE7558">
        <w:rPr>
          <w:rFonts w:ascii="Times New Roman" w:hAnsi="Times New Roman" w:cs="Times New Roman"/>
          <w:sz w:val="24"/>
        </w:rPr>
        <w:t xml:space="preserve">Es interesante aquí ver el aumento de la subocupación a lo largo del régimen neoliberal, y la fuerte caída en el </w:t>
      </w:r>
      <w:proofErr w:type="spellStart"/>
      <w:r w:rsidR="003456B2" w:rsidRPr="00AE7558">
        <w:rPr>
          <w:rFonts w:ascii="Times New Roman" w:hAnsi="Times New Roman" w:cs="Times New Roman"/>
          <w:sz w:val="24"/>
        </w:rPr>
        <w:t>neodesarrollista</w:t>
      </w:r>
      <w:proofErr w:type="spellEnd"/>
      <w:r w:rsidR="003456B2" w:rsidRPr="00AE7558">
        <w:rPr>
          <w:rFonts w:ascii="Times New Roman" w:hAnsi="Times New Roman" w:cs="Times New Roman"/>
          <w:sz w:val="24"/>
        </w:rPr>
        <w:t>, complementando la información de las tasas de desoc</w:t>
      </w:r>
      <w:r w:rsidR="00570703">
        <w:rPr>
          <w:rFonts w:ascii="Times New Roman" w:hAnsi="Times New Roman" w:cs="Times New Roman"/>
          <w:sz w:val="24"/>
        </w:rPr>
        <w:t>upación previamente presentadas. Tras la crisis de mediados de la post convertibilidad pareciera que crecen las tasas de subocupación entre los jóvenes, y no así entre los adultos, que tienden a mantenerse estables e incluso a disminuir levemente. Esto puede deberse al efecto del trabajador adicional antes mencionado, en tanto también se observa el crecimiento de la tasa de subocupación de los</w:t>
      </w:r>
      <w:r w:rsidR="00753C56">
        <w:rPr>
          <w:rFonts w:ascii="Times New Roman" w:hAnsi="Times New Roman" w:cs="Times New Roman"/>
          <w:sz w:val="24"/>
        </w:rPr>
        <w:t xml:space="preserve"> jóvenes en la crisis de 2001. </w:t>
      </w:r>
    </w:p>
    <w:p w:rsidR="00753C56" w:rsidRDefault="00753C56" w:rsidP="00753C56">
      <w:pPr>
        <w:autoSpaceDE w:val="0"/>
        <w:autoSpaceDN w:val="0"/>
        <w:adjustRightInd w:val="0"/>
        <w:spacing w:after="0" w:line="360" w:lineRule="auto"/>
        <w:ind w:firstLine="340"/>
        <w:jc w:val="both"/>
        <w:rPr>
          <w:rFonts w:ascii="Times New Roman" w:hAnsi="Times New Roman" w:cs="Times New Roman"/>
          <w:sz w:val="24"/>
        </w:rPr>
      </w:pPr>
    </w:p>
    <w:p w:rsidR="00CA25A3" w:rsidRDefault="00CA25A3" w:rsidP="0034287A">
      <w:pPr>
        <w:spacing w:line="240" w:lineRule="auto"/>
        <w:jc w:val="center"/>
        <w:rPr>
          <w:rFonts w:ascii="Times New Roman" w:hAnsi="Times New Roman" w:cs="Times New Roman"/>
          <w:sz w:val="24"/>
        </w:rPr>
      </w:pPr>
    </w:p>
    <w:p w:rsidR="00CA25A3" w:rsidRDefault="00CA25A3" w:rsidP="0034287A">
      <w:pPr>
        <w:spacing w:line="240" w:lineRule="auto"/>
        <w:jc w:val="center"/>
        <w:rPr>
          <w:rFonts w:ascii="Times New Roman" w:hAnsi="Times New Roman" w:cs="Times New Roman"/>
          <w:sz w:val="24"/>
        </w:rPr>
      </w:pPr>
    </w:p>
    <w:p w:rsidR="00CA25A3" w:rsidRDefault="00CA25A3" w:rsidP="0034287A">
      <w:pPr>
        <w:spacing w:line="240" w:lineRule="auto"/>
        <w:jc w:val="center"/>
        <w:rPr>
          <w:rFonts w:ascii="Times New Roman" w:hAnsi="Times New Roman" w:cs="Times New Roman"/>
          <w:sz w:val="24"/>
        </w:rPr>
      </w:pPr>
    </w:p>
    <w:p w:rsidR="00CA25A3" w:rsidRDefault="00CA25A3" w:rsidP="0034287A">
      <w:pPr>
        <w:spacing w:line="240" w:lineRule="auto"/>
        <w:jc w:val="center"/>
        <w:rPr>
          <w:rFonts w:ascii="Times New Roman" w:hAnsi="Times New Roman" w:cs="Times New Roman"/>
          <w:sz w:val="24"/>
        </w:rPr>
      </w:pPr>
    </w:p>
    <w:p w:rsidR="00CA25A3" w:rsidRDefault="00CA25A3" w:rsidP="0034287A">
      <w:pPr>
        <w:spacing w:line="240" w:lineRule="auto"/>
        <w:jc w:val="center"/>
        <w:rPr>
          <w:rFonts w:ascii="Times New Roman" w:hAnsi="Times New Roman" w:cs="Times New Roman"/>
          <w:sz w:val="24"/>
        </w:rPr>
      </w:pPr>
    </w:p>
    <w:p w:rsidR="00CA25A3" w:rsidRDefault="00CA25A3" w:rsidP="0034287A">
      <w:pPr>
        <w:spacing w:line="240" w:lineRule="auto"/>
        <w:jc w:val="center"/>
        <w:rPr>
          <w:rFonts w:ascii="Times New Roman" w:hAnsi="Times New Roman" w:cs="Times New Roman"/>
          <w:sz w:val="24"/>
        </w:rPr>
      </w:pPr>
    </w:p>
    <w:p w:rsidR="00CA25A3" w:rsidRDefault="00CA25A3" w:rsidP="0034287A">
      <w:pPr>
        <w:spacing w:line="240" w:lineRule="auto"/>
        <w:jc w:val="center"/>
        <w:rPr>
          <w:rFonts w:ascii="Times New Roman" w:hAnsi="Times New Roman" w:cs="Times New Roman"/>
          <w:sz w:val="24"/>
        </w:rPr>
      </w:pPr>
    </w:p>
    <w:p w:rsidR="00CA25A3" w:rsidRDefault="00CA25A3" w:rsidP="0034287A">
      <w:pPr>
        <w:spacing w:line="240" w:lineRule="auto"/>
        <w:jc w:val="center"/>
        <w:rPr>
          <w:rFonts w:ascii="Times New Roman" w:hAnsi="Times New Roman" w:cs="Times New Roman"/>
          <w:sz w:val="24"/>
        </w:rPr>
      </w:pPr>
    </w:p>
    <w:p w:rsidR="00912252" w:rsidRDefault="00E7617C" w:rsidP="00CA25A3">
      <w:pPr>
        <w:spacing w:line="240" w:lineRule="auto"/>
        <w:jc w:val="both"/>
        <w:rPr>
          <w:rFonts w:ascii="Times New Roman" w:hAnsi="Times New Roman" w:cs="Times New Roman"/>
          <w:sz w:val="24"/>
        </w:rPr>
      </w:pPr>
      <w:r w:rsidRPr="008755BA">
        <w:rPr>
          <w:rFonts w:ascii="Times New Roman" w:hAnsi="Times New Roman" w:cs="Times New Roman"/>
          <w:sz w:val="24"/>
        </w:rPr>
        <w:lastRenderedPageBreak/>
        <w:t xml:space="preserve">Gráfico nº </w:t>
      </w:r>
      <w:r w:rsidR="00E94832" w:rsidRPr="008755BA">
        <w:rPr>
          <w:rFonts w:ascii="Times New Roman" w:hAnsi="Times New Roman" w:cs="Times New Roman"/>
          <w:sz w:val="24"/>
        </w:rPr>
        <w:t>2</w:t>
      </w:r>
      <w:r w:rsidRPr="008755BA">
        <w:rPr>
          <w:rFonts w:ascii="Times New Roman" w:hAnsi="Times New Roman" w:cs="Times New Roman"/>
          <w:sz w:val="24"/>
        </w:rPr>
        <w:t xml:space="preserve">: </w:t>
      </w:r>
      <w:r w:rsidR="004A6450" w:rsidRPr="008755BA">
        <w:rPr>
          <w:rFonts w:ascii="Times New Roman" w:hAnsi="Times New Roman" w:cs="Times New Roman"/>
          <w:sz w:val="24"/>
        </w:rPr>
        <w:t>Tasas de subocupación</w:t>
      </w:r>
      <w:r w:rsidR="00234FBF">
        <w:rPr>
          <w:rFonts w:ascii="Times New Roman" w:hAnsi="Times New Roman" w:cs="Times New Roman"/>
          <w:sz w:val="24"/>
        </w:rPr>
        <w:t xml:space="preserve"> sobre PEA</w:t>
      </w:r>
      <w:r w:rsidR="004A6450" w:rsidRPr="008755BA">
        <w:rPr>
          <w:rFonts w:ascii="Times New Roman" w:hAnsi="Times New Roman" w:cs="Times New Roman"/>
          <w:sz w:val="24"/>
        </w:rPr>
        <w:t xml:space="preserve"> por grupos de edad. </w:t>
      </w:r>
      <w:r w:rsidR="005316BB">
        <w:rPr>
          <w:rFonts w:ascii="Times New Roman" w:hAnsi="Times New Roman" w:cs="Times New Roman"/>
          <w:sz w:val="24"/>
        </w:rPr>
        <w:t>GBA</w:t>
      </w:r>
      <w:r w:rsidR="004A6450" w:rsidRPr="008755BA">
        <w:rPr>
          <w:rFonts w:ascii="Times New Roman" w:hAnsi="Times New Roman" w:cs="Times New Roman"/>
          <w:sz w:val="24"/>
        </w:rPr>
        <w:t xml:space="preserve"> 1992-2014.</w:t>
      </w:r>
    </w:p>
    <w:p w:rsidR="00B309D7" w:rsidRPr="00B309D7" w:rsidRDefault="00912252" w:rsidP="00C704FF">
      <w:pPr>
        <w:spacing w:line="240" w:lineRule="auto"/>
        <w:jc w:val="both"/>
        <w:rPr>
          <w:rFonts w:ascii="Times New Roman" w:hAnsi="Times New Roman" w:cs="Times New Roman"/>
          <w:sz w:val="24"/>
        </w:rPr>
      </w:pPr>
      <w:r>
        <w:rPr>
          <w:noProof/>
          <w:lang w:val="es-ES" w:eastAsia="es-ES"/>
        </w:rPr>
        <w:drawing>
          <wp:inline distT="0" distB="0" distL="0" distR="0" wp14:anchorId="2187A7A7" wp14:editId="4ACEAE74">
            <wp:extent cx="5577840" cy="2606040"/>
            <wp:effectExtent l="0" t="0" r="3810" b="3810"/>
            <wp:docPr id="5" name="Gráfico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15="http://schemas.microsoft.com/office/word/2012/wordml"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B61DEA">
        <w:rPr>
          <w:rFonts w:ascii="Times New Roman" w:hAnsi="Times New Roman" w:cs="Times New Roman"/>
          <w:sz w:val="24"/>
        </w:rPr>
        <w:br/>
      </w:r>
      <w:r w:rsidR="00F953EE">
        <w:rPr>
          <w:rFonts w:ascii="Times New Roman" w:hAnsi="Times New Roman" w:cs="Times New Roman"/>
          <w:sz w:val="18"/>
        </w:rPr>
        <w:t>Fuente: Elaboración propia con base en la información procesada por el Programa Cambio Estructural y Desigualdad Social, IIGG-FCS-UBA a partir de la EPH, INDEC (Octubre de 1992, 1994, 1998, 2001 y cuartos trimestres de 2003, 2004, 2007, 2012 y 2014)</w:t>
      </w:r>
      <w:r w:rsidR="008A1D85" w:rsidRPr="008A1D85">
        <w:rPr>
          <w:rFonts w:ascii="Times New Roman" w:hAnsi="Times New Roman" w:cs="Times New Roman"/>
          <w:sz w:val="18"/>
        </w:rPr>
        <w:t>.</w:t>
      </w:r>
    </w:p>
    <w:p w:rsidR="00753C56" w:rsidRDefault="00753C56" w:rsidP="008C4038">
      <w:pPr>
        <w:autoSpaceDE w:val="0"/>
        <w:autoSpaceDN w:val="0"/>
        <w:adjustRightInd w:val="0"/>
        <w:spacing w:after="0" w:line="360" w:lineRule="auto"/>
        <w:ind w:firstLine="340"/>
        <w:jc w:val="both"/>
        <w:rPr>
          <w:rFonts w:ascii="Times New Roman" w:hAnsi="Times New Roman" w:cs="Times New Roman"/>
          <w:sz w:val="24"/>
          <w:szCs w:val="24"/>
        </w:rPr>
      </w:pPr>
    </w:p>
    <w:p w:rsidR="00C61368" w:rsidRPr="00C920C3" w:rsidRDefault="00C61368" w:rsidP="008C4038">
      <w:pPr>
        <w:autoSpaceDE w:val="0"/>
        <w:autoSpaceDN w:val="0"/>
        <w:adjustRightInd w:val="0"/>
        <w:spacing w:after="0" w:line="360" w:lineRule="auto"/>
        <w:ind w:firstLine="340"/>
        <w:jc w:val="both"/>
        <w:rPr>
          <w:rFonts w:ascii="Times New Roman" w:hAnsi="Times New Roman" w:cs="Times New Roman"/>
          <w:sz w:val="24"/>
          <w:szCs w:val="24"/>
        </w:rPr>
      </w:pPr>
      <w:r w:rsidRPr="00C920C3">
        <w:rPr>
          <w:rFonts w:ascii="Times New Roman" w:hAnsi="Times New Roman" w:cs="Times New Roman"/>
          <w:sz w:val="24"/>
          <w:szCs w:val="24"/>
        </w:rPr>
        <w:t xml:space="preserve">Diversos estudios </w:t>
      </w:r>
      <w:r w:rsidR="00D6261C">
        <w:rPr>
          <w:rFonts w:ascii="Times New Roman" w:hAnsi="Times New Roman" w:cs="Times New Roman"/>
          <w:sz w:val="24"/>
          <w:szCs w:val="24"/>
        </w:rPr>
        <w:t xml:space="preserve">enfatizaron </w:t>
      </w:r>
      <w:r w:rsidR="005B333B">
        <w:rPr>
          <w:rFonts w:ascii="Times New Roman" w:hAnsi="Times New Roman" w:cs="Times New Roman"/>
          <w:sz w:val="24"/>
          <w:szCs w:val="24"/>
        </w:rPr>
        <w:t>el fuerte aumento de</w:t>
      </w:r>
      <w:r w:rsidRPr="00C920C3">
        <w:rPr>
          <w:rFonts w:ascii="Times New Roman" w:hAnsi="Times New Roman" w:cs="Times New Roman"/>
          <w:sz w:val="24"/>
          <w:szCs w:val="24"/>
        </w:rPr>
        <w:t xml:space="preserve"> la tasa de desocupación abierta de los noventa</w:t>
      </w:r>
      <w:r w:rsidR="00D6261C">
        <w:rPr>
          <w:rFonts w:ascii="Times New Roman" w:hAnsi="Times New Roman" w:cs="Times New Roman"/>
          <w:sz w:val="24"/>
          <w:szCs w:val="24"/>
        </w:rPr>
        <w:t xml:space="preserve"> sobre</w:t>
      </w:r>
      <w:r w:rsidRPr="00C920C3">
        <w:rPr>
          <w:rFonts w:ascii="Times New Roman" w:hAnsi="Times New Roman" w:cs="Times New Roman"/>
          <w:sz w:val="24"/>
          <w:szCs w:val="24"/>
        </w:rPr>
        <w:t xml:space="preserve"> aquellos rasgos que habían caracterizado el deterioro del ámbito laboral en los ochenta, la subocupación y la precariedad (</w:t>
      </w:r>
      <w:proofErr w:type="spellStart"/>
      <w:r w:rsidRPr="00C920C3">
        <w:rPr>
          <w:rFonts w:ascii="Times New Roman" w:hAnsi="Times New Roman" w:cs="Times New Roman"/>
          <w:sz w:val="24"/>
          <w:szCs w:val="24"/>
        </w:rPr>
        <w:t>Monza</w:t>
      </w:r>
      <w:proofErr w:type="spellEnd"/>
      <w:r w:rsidRPr="00C920C3">
        <w:rPr>
          <w:rFonts w:ascii="Times New Roman" w:hAnsi="Times New Roman" w:cs="Times New Roman"/>
          <w:sz w:val="24"/>
          <w:szCs w:val="24"/>
        </w:rPr>
        <w:t>, 2002</w:t>
      </w:r>
      <w:r w:rsidR="00CF2C14" w:rsidRPr="00C920C3">
        <w:rPr>
          <w:rFonts w:ascii="Times New Roman" w:hAnsi="Times New Roman" w:cs="Times New Roman"/>
          <w:sz w:val="24"/>
          <w:szCs w:val="24"/>
        </w:rPr>
        <w:t>, Jacinto 2004</w:t>
      </w:r>
      <w:r w:rsidRPr="00C920C3">
        <w:rPr>
          <w:rFonts w:ascii="Times New Roman" w:hAnsi="Times New Roman" w:cs="Times New Roman"/>
          <w:sz w:val="24"/>
          <w:szCs w:val="24"/>
        </w:rPr>
        <w:t xml:space="preserve">). La apertura económica y la pérdida de importancia de las actividades de producción industrial trajo aparejado una metamorfosis en la distribución sectorial de las ocupaciones que fue modificando la estructura ocupacional, su composición de género, su contenido etario y la distribución del ingreso (Miranda, Otero y </w:t>
      </w:r>
      <w:proofErr w:type="spellStart"/>
      <w:r w:rsidRPr="00C920C3">
        <w:rPr>
          <w:rFonts w:ascii="Times New Roman" w:hAnsi="Times New Roman" w:cs="Times New Roman"/>
          <w:sz w:val="24"/>
          <w:szCs w:val="24"/>
        </w:rPr>
        <w:t>Zelarayan</w:t>
      </w:r>
      <w:proofErr w:type="spellEnd"/>
      <w:r w:rsidRPr="00C920C3">
        <w:rPr>
          <w:rFonts w:ascii="Times New Roman" w:hAnsi="Times New Roman" w:cs="Times New Roman"/>
          <w:sz w:val="24"/>
          <w:szCs w:val="24"/>
        </w:rPr>
        <w:t>, 2005)</w:t>
      </w:r>
    </w:p>
    <w:p w:rsidR="00C61368" w:rsidRPr="00C920C3" w:rsidRDefault="00C61368" w:rsidP="008C4038">
      <w:pPr>
        <w:autoSpaceDE w:val="0"/>
        <w:autoSpaceDN w:val="0"/>
        <w:adjustRightInd w:val="0"/>
        <w:spacing w:after="0" w:line="360" w:lineRule="auto"/>
        <w:ind w:firstLine="340"/>
        <w:jc w:val="both"/>
        <w:rPr>
          <w:rFonts w:ascii="Times New Roman" w:hAnsi="Times New Roman" w:cs="Times New Roman"/>
          <w:sz w:val="24"/>
          <w:szCs w:val="24"/>
        </w:rPr>
      </w:pPr>
      <w:r w:rsidRPr="00C920C3">
        <w:rPr>
          <w:rFonts w:ascii="Times New Roman" w:hAnsi="Times New Roman" w:cs="Times New Roman"/>
          <w:sz w:val="24"/>
          <w:szCs w:val="24"/>
        </w:rPr>
        <w:t>A lo largo de esta década, se pueden distinguir fases cuyo impacto diferencial en el empleo juvenil resulta importante para el presente artículo. Comenzando por la fase de reestructuración y reactivación económica que suele situarse del año 1991 al año 1994, se destaca que la demanda de empleo en el sector formal moderno se concentró en perfiles calificados y con salarios de eficiencia, es decir jóvenes de sectores medios y altos de la estructura social. Al mismo tiempo, esta mayor a</w:t>
      </w:r>
      <w:r w:rsidR="001C2CFA">
        <w:rPr>
          <w:rFonts w:ascii="Times New Roman" w:hAnsi="Times New Roman" w:cs="Times New Roman"/>
          <w:sz w:val="24"/>
          <w:szCs w:val="24"/>
        </w:rPr>
        <w:t>pertura y competitividad</w:t>
      </w:r>
      <w:r w:rsidRPr="00C920C3">
        <w:rPr>
          <w:rFonts w:ascii="Times New Roman" w:hAnsi="Times New Roman" w:cs="Times New Roman"/>
          <w:sz w:val="24"/>
          <w:szCs w:val="24"/>
        </w:rPr>
        <w:t xml:space="preserve"> generó el cierre de unidades económicas y el deterioro de las relaciones laborales en los sectores de baja productividad, quienes se vieron obligados a despedir personal o a forzar una reducción de costos laborales. En este caso, los jóvenes menos calificados -junto a las mujeres- pasaron a ser el componente más demandado por el crecimiento del trabajo no registrado. El sector servicios cobra mayor importancia, y se transforma la gestión </w:t>
      </w:r>
      <w:r w:rsidRPr="00C920C3">
        <w:rPr>
          <w:rFonts w:ascii="Times New Roman" w:hAnsi="Times New Roman" w:cs="Times New Roman"/>
          <w:sz w:val="24"/>
          <w:szCs w:val="24"/>
        </w:rPr>
        <w:lastRenderedPageBreak/>
        <w:t>del trabajo convirtiendo en obsoletos ciertos oficios y haciendo emerger nuevas ocupaciones más que nada protagonizadas por mujeres y jóvenes, ya no como trabajadores secundarios, sino adquiriendo un nuevo rol de mayor peso en las nuevas prestaciones del mercado labo</w:t>
      </w:r>
      <w:r w:rsidR="005B333B">
        <w:rPr>
          <w:rFonts w:ascii="Times New Roman" w:hAnsi="Times New Roman" w:cs="Times New Roman"/>
          <w:sz w:val="24"/>
          <w:szCs w:val="24"/>
        </w:rPr>
        <w:t xml:space="preserve">ral urbano. </w:t>
      </w:r>
    </w:p>
    <w:p w:rsidR="00C61368" w:rsidRPr="00C920C3" w:rsidRDefault="009D7CB5" w:rsidP="00C613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Durante la crisis mexicana del Tequila</w:t>
      </w:r>
      <w:r w:rsidR="00C61368" w:rsidRPr="00C920C3">
        <w:rPr>
          <w:rFonts w:ascii="Times New Roman" w:hAnsi="Times New Roman" w:cs="Times New Roman"/>
          <w:sz w:val="24"/>
          <w:szCs w:val="24"/>
        </w:rPr>
        <w:t xml:space="preserve"> de los años 1995 y 19</w:t>
      </w:r>
      <w:r w:rsidR="005D60EB">
        <w:rPr>
          <w:rFonts w:ascii="Times New Roman" w:hAnsi="Times New Roman" w:cs="Times New Roman"/>
          <w:sz w:val="24"/>
          <w:szCs w:val="24"/>
        </w:rPr>
        <w:t xml:space="preserve">96, el desempleo juvenil creció, y </w:t>
      </w:r>
      <w:r w:rsidR="00C61368" w:rsidRPr="00C920C3">
        <w:rPr>
          <w:rFonts w:ascii="Times New Roman" w:hAnsi="Times New Roman" w:cs="Times New Roman"/>
          <w:sz w:val="24"/>
          <w:szCs w:val="24"/>
        </w:rPr>
        <w:t>si bien la caída que experimentó el empleo pleno y el subempleo horario entre los jóvenes es más pronunciada en comparación con el resto de la fuerza de trabajo, la oferta laboral juvenil se mantuvo elevada e incluso creció como una respuesta estratégica de los hogares ante el aumento del desempleo entre los jefes de hogar. Siguie</w:t>
      </w:r>
      <w:r w:rsidR="00443EB9">
        <w:rPr>
          <w:rFonts w:ascii="Times New Roman" w:hAnsi="Times New Roman" w:cs="Times New Roman"/>
          <w:sz w:val="24"/>
          <w:szCs w:val="24"/>
        </w:rPr>
        <w:t xml:space="preserve">ndo a Salvia y Tuñón (2002) </w:t>
      </w:r>
      <w:r w:rsidR="00C61368" w:rsidRPr="00C920C3">
        <w:rPr>
          <w:rFonts w:ascii="Times New Roman" w:hAnsi="Times New Roman" w:cs="Times New Roman"/>
          <w:sz w:val="24"/>
          <w:szCs w:val="24"/>
        </w:rPr>
        <w:t xml:space="preserve">fueron los jóvenes no jefes de los sectores populares urbanos el componente de población económicamente activa que más creció en este período, pero también donde más aumentó la desocupación abierta. </w:t>
      </w:r>
    </w:p>
    <w:p w:rsidR="00C61368" w:rsidRPr="00C920C3" w:rsidRDefault="00C61368" w:rsidP="008C4038">
      <w:pPr>
        <w:autoSpaceDE w:val="0"/>
        <w:autoSpaceDN w:val="0"/>
        <w:adjustRightInd w:val="0"/>
        <w:spacing w:after="0" w:line="360" w:lineRule="auto"/>
        <w:ind w:firstLine="340"/>
        <w:jc w:val="both"/>
        <w:rPr>
          <w:rFonts w:ascii="Times New Roman" w:hAnsi="Times New Roman" w:cs="Times New Roman"/>
          <w:sz w:val="24"/>
          <w:szCs w:val="24"/>
        </w:rPr>
      </w:pPr>
      <w:r w:rsidRPr="00C920C3">
        <w:rPr>
          <w:rFonts w:ascii="Times New Roman" w:hAnsi="Times New Roman" w:cs="Times New Roman"/>
          <w:sz w:val="24"/>
          <w:szCs w:val="24"/>
        </w:rPr>
        <w:t>Ante la salida de esta crisis, se registra un aumento de la demanda agregada y el crecimiento general del empleo entre los años 1996 y 1998, impactando en la situación ocupacional de los jóvenes. En primer lugar, al recuperarse el empleo entre los jefes de hogar, se observó una retracción en la oferta laboral de trabajadores secundarios o adicionales jóvenes. En segundo lugar, no sólo la mejora en los empleos de los jóvenes fue menor a la alcanzada por el resto de</w:t>
      </w:r>
      <w:r w:rsidR="005D60EB">
        <w:rPr>
          <w:rFonts w:ascii="Times New Roman" w:hAnsi="Times New Roman" w:cs="Times New Roman"/>
          <w:sz w:val="24"/>
          <w:szCs w:val="24"/>
        </w:rPr>
        <w:t xml:space="preserve"> la fuerza de trabajo, también </w:t>
      </w:r>
      <w:r w:rsidRPr="00C920C3">
        <w:rPr>
          <w:rFonts w:ascii="Times New Roman" w:hAnsi="Times New Roman" w:cs="Times New Roman"/>
          <w:sz w:val="24"/>
          <w:szCs w:val="24"/>
        </w:rPr>
        <w:t xml:space="preserve">fueron sobre todo aquellos jóvenes con mayor capital humano quienes lograron acceder a mejores oportunidades de empleo, y fundamentalmente en el sector moderno. </w:t>
      </w:r>
    </w:p>
    <w:p w:rsidR="00C61368" w:rsidRPr="00C920C3" w:rsidRDefault="005D60EB" w:rsidP="00BB6841">
      <w:pPr>
        <w:tabs>
          <w:tab w:val="left" w:pos="2955"/>
        </w:tabs>
        <w:spacing w:line="360" w:lineRule="auto"/>
        <w:jc w:val="both"/>
        <w:rPr>
          <w:rFonts w:ascii="Times New Roman" w:hAnsi="Times New Roman" w:cs="Times New Roman"/>
          <w:sz w:val="24"/>
          <w:szCs w:val="24"/>
        </w:rPr>
      </w:pPr>
      <w:r>
        <w:rPr>
          <w:rFonts w:ascii="Times New Roman" w:hAnsi="Times New Roman" w:cs="Times New Roman"/>
          <w:sz w:val="24"/>
        </w:rPr>
        <w:t>Durante la</w:t>
      </w:r>
      <w:r w:rsidR="00C61368" w:rsidRPr="00C920C3">
        <w:rPr>
          <w:rFonts w:ascii="Times New Roman" w:hAnsi="Times New Roman" w:cs="Times New Roman"/>
          <w:sz w:val="24"/>
        </w:rPr>
        <w:t xml:space="preserve"> crisis del modelo de convertibili</w:t>
      </w:r>
      <w:r w:rsidR="00EB1ED6">
        <w:rPr>
          <w:rFonts w:ascii="Times New Roman" w:hAnsi="Times New Roman" w:cs="Times New Roman"/>
          <w:sz w:val="24"/>
        </w:rPr>
        <w:t>dad entre los años 1998 y 2001</w:t>
      </w:r>
      <w:r w:rsidR="00C61368" w:rsidRPr="00C920C3">
        <w:rPr>
          <w:rFonts w:ascii="Times New Roman" w:hAnsi="Times New Roman" w:cs="Times New Roman"/>
          <w:sz w:val="24"/>
        </w:rPr>
        <w:t xml:space="preserve">, </w:t>
      </w:r>
      <w:r w:rsidR="00443EB9" w:rsidRPr="00C920C3">
        <w:rPr>
          <w:rFonts w:ascii="Times New Roman" w:hAnsi="Times New Roman" w:cs="Times New Roman"/>
          <w:sz w:val="24"/>
        </w:rPr>
        <w:t>las condiciones</w:t>
      </w:r>
      <w:r w:rsidR="00C61368" w:rsidRPr="00C920C3">
        <w:rPr>
          <w:rFonts w:ascii="Times New Roman" w:hAnsi="Times New Roman" w:cs="Times New Roman"/>
          <w:sz w:val="24"/>
        </w:rPr>
        <w:t xml:space="preserve"> de empleo y precariedad lab</w:t>
      </w:r>
      <w:r w:rsidR="00BA3189">
        <w:rPr>
          <w:rFonts w:ascii="Times New Roman" w:hAnsi="Times New Roman" w:cs="Times New Roman"/>
          <w:sz w:val="24"/>
        </w:rPr>
        <w:t>oral entre los jóvenes se agravó</w:t>
      </w:r>
      <w:r w:rsidR="00C61368" w:rsidRPr="00C920C3">
        <w:rPr>
          <w:rFonts w:ascii="Times New Roman" w:hAnsi="Times New Roman" w:cs="Times New Roman"/>
          <w:sz w:val="24"/>
        </w:rPr>
        <w:t xml:space="preserve">, como sucedió en general para el conjunto de trabajadores en </w:t>
      </w:r>
      <w:r>
        <w:rPr>
          <w:rFonts w:ascii="Times New Roman" w:hAnsi="Times New Roman" w:cs="Times New Roman"/>
          <w:sz w:val="24"/>
        </w:rPr>
        <w:t>Argentina</w:t>
      </w:r>
      <w:r w:rsidR="00C61368" w:rsidRPr="00C920C3">
        <w:rPr>
          <w:rFonts w:ascii="Times New Roman" w:hAnsi="Times New Roman" w:cs="Times New Roman"/>
          <w:sz w:val="24"/>
        </w:rPr>
        <w:t xml:space="preserve">. </w:t>
      </w:r>
      <w:r w:rsidR="00C61368" w:rsidRPr="00C920C3">
        <w:rPr>
          <w:rFonts w:ascii="Times New Roman" w:hAnsi="Times New Roman" w:cs="Times New Roman"/>
          <w:sz w:val="24"/>
          <w:szCs w:val="24"/>
        </w:rPr>
        <w:t xml:space="preserve">Se generalizó como principal modo de inserción ocupacional entre los jóvenes la intermitencia laboral y el empleo precario de subsistencia. </w:t>
      </w:r>
    </w:p>
    <w:p w:rsidR="00CF2C14" w:rsidRDefault="00CF2C14" w:rsidP="008C4038">
      <w:pPr>
        <w:autoSpaceDE w:val="0"/>
        <w:autoSpaceDN w:val="0"/>
        <w:adjustRightInd w:val="0"/>
        <w:spacing w:after="0" w:line="360" w:lineRule="auto"/>
        <w:ind w:firstLine="340"/>
        <w:jc w:val="both"/>
        <w:rPr>
          <w:rFonts w:ascii="Times New Roman" w:hAnsi="Times New Roman" w:cs="Times New Roman"/>
          <w:sz w:val="24"/>
          <w:szCs w:val="24"/>
        </w:rPr>
      </w:pPr>
      <w:r w:rsidRPr="00C920C3">
        <w:rPr>
          <w:rFonts w:ascii="Times New Roman" w:hAnsi="Times New Roman" w:cs="Times New Roman"/>
          <w:sz w:val="24"/>
          <w:szCs w:val="24"/>
        </w:rPr>
        <w:t>Aho</w:t>
      </w:r>
      <w:r w:rsidR="005D60EB">
        <w:rPr>
          <w:rFonts w:ascii="Times New Roman" w:hAnsi="Times New Roman" w:cs="Times New Roman"/>
          <w:sz w:val="24"/>
          <w:szCs w:val="24"/>
        </w:rPr>
        <w:t xml:space="preserve">ra bien, durante el régimen denominado aquí </w:t>
      </w:r>
      <w:proofErr w:type="spellStart"/>
      <w:r w:rsidRPr="00C920C3">
        <w:rPr>
          <w:rFonts w:ascii="Times New Roman" w:hAnsi="Times New Roman" w:cs="Times New Roman"/>
          <w:sz w:val="24"/>
          <w:szCs w:val="24"/>
        </w:rPr>
        <w:t>neodesarrollista</w:t>
      </w:r>
      <w:proofErr w:type="spellEnd"/>
      <w:r w:rsidRPr="00C920C3">
        <w:rPr>
          <w:rFonts w:ascii="Times New Roman" w:hAnsi="Times New Roman" w:cs="Times New Roman"/>
          <w:sz w:val="24"/>
          <w:szCs w:val="24"/>
        </w:rPr>
        <w:t xml:space="preserve"> en el periodo de la </w:t>
      </w:r>
      <w:r w:rsidR="000C0411">
        <w:rPr>
          <w:rFonts w:ascii="Times New Roman" w:hAnsi="Times New Roman" w:cs="Times New Roman"/>
          <w:sz w:val="24"/>
          <w:szCs w:val="24"/>
        </w:rPr>
        <w:t>post-convertibilidad</w:t>
      </w:r>
      <w:r w:rsidRPr="00C920C3">
        <w:rPr>
          <w:rFonts w:ascii="Times New Roman" w:hAnsi="Times New Roman" w:cs="Times New Roman"/>
          <w:sz w:val="24"/>
          <w:szCs w:val="24"/>
        </w:rPr>
        <w:t xml:space="preserve"> resurge el debate teórico </w:t>
      </w:r>
      <w:r w:rsidR="00BB6841">
        <w:rPr>
          <w:rFonts w:ascii="Times New Roman" w:hAnsi="Times New Roman" w:cs="Times New Roman"/>
          <w:sz w:val="24"/>
          <w:szCs w:val="24"/>
        </w:rPr>
        <w:t xml:space="preserve">y público </w:t>
      </w:r>
      <w:r w:rsidRPr="00C920C3">
        <w:rPr>
          <w:rFonts w:ascii="Times New Roman" w:hAnsi="Times New Roman" w:cs="Times New Roman"/>
          <w:sz w:val="24"/>
          <w:szCs w:val="24"/>
        </w:rPr>
        <w:t xml:space="preserve">acerca de las oportunidades laborales para los jóvenes, por los impactos específicos que se generaron a partir del año 2001 hasta el 2014. </w:t>
      </w:r>
    </w:p>
    <w:p w:rsidR="000F4262" w:rsidRPr="000F4262" w:rsidRDefault="000F4262" w:rsidP="000F42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 estudio de la </w:t>
      </w:r>
      <w:r w:rsidRPr="000F4262">
        <w:rPr>
          <w:rFonts w:ascii="Times New Roman" w:hAnsi="Times New Roman" w:cs="Times New Roman"/>
          <w:sz w:val="24"/>
          <w:szCs w:val="24"/>
        </w:rPr>
        <w:t>Subsecretaría de Programación Técnica y Estudios Laborales</w:t>
      </w:r>
      <w:r>
        <w:rPr>
          <w:rFonts w:ascii="Times New Roman" w:hAnsi="Times New Roman" w:cs="Times New Roman"/>
          <w:sz w:val="24"/>
          <w:szCs w:val="24"/>
        </w:rPr>
        <w:t xml:space="preserve"> del Ministerio de Trabajo, Empleo y Seguridad Social de la Nación (</w:t>
      </w:r>
      <w:proofErr w:type="spellStart"/>
      <w:r>
        <w:rPr>
          <w:rFonts w:ascii="Times New Roman" w:hAnsi="Times New Roman" w:cs="Times New Roman"/>
          <w:sz w:val="24"/>
          <w:szCs w:val="24"/>
        </w:rPr>
        <w:t>MTEySS</w:t>
      </w:r>
      <w:proofErr w:type="spellEnd"/>
      <w:r>
        <w:rPr>
          <w:rFonts w:ascii="Times New Roman" w:hAnsi="Times New Roman" w:cs="Times New Roman"/>
          <w:sz w:val="24"/>
          <w:szCs w:val="24"/>
        </w:rPr>
        <w:t xml:space="preserve">), elaborado por </w:t>
      </w:r>
      <w:proofErr w:type="spellStart"/>
      <w:r>
        <w:rPr>
          <w:rFonts w:ascii="Times New Roman" w:hAnsi="Times New Roman" w:cs="Times New Roman"/>
          <w:sz w:val="24"/>
          <w:szCs w:val="24"/>
        </w:rPr>
        <w:t>Lépore</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Schleser</w:t>
      </w:r>
      <w:proofErr w:type="spellEnd"/>
      <w:r>
        <w:rPr>
          <w:rFonts w:ascii="Times New Roman" w:hAnsi="Times New Roman" w:cs="Times New Roman"/>
          <w:sz w:val="24"/>
          <w:szCs w:val="24"/>
        </w:rPr>
        <w:t xml:space="preserve"> </w:t>
      </w:r>
      <w:r w:rsidR="005D60EB">
        <w:rPr>
          <w:rFonts w:ascii="Times New Roman" w:hAnsi="Times New Roman" w:cs="Times New Roman"/>
          <w:sz w:val="24"/>
          <w:szCs w:val="24"/>
        </w:rPr>
        <w:t xml:space="preserve">(2003) </w:t>
      </w:r>
      <w:r>
        <w:rPr>
          <w:rFonts w:ascii="Times New Roman" w:hAnsi="Times New Roman" w:cs="Times New Roman"/>
          <w:sz w:val="24"/>
          <w:szCs w:val="24"/>
        </w:rPr>
        <w:t>diagnosticaba los jóvenes como un grupo poblacional particularmente afectado por el problema de de</w:t>
      </w:r>
      <w:r w:rsidR="00CF0F49">
        <w:rPr>
          <w:rFonts w:ascii="Times New Roman" w:hAnsi="Times New Roman" w:cs="Times New Roman"/>
          <w:sz w:val="24"/>
          <w:szCs w:val="24"/>
        </w:rPr>
        <w:t xml:space="preserve">sempleo. </w:t>
      </w:r>
      <w:r>
        <w:rPr>
          <w:rFonts w:ascii="Times New Roman" w:hAnsi="Times New Roman" w:cs="Times New Roman"/>
          <w:sz w:val="24"/>
          <w:szCs w:val="24"/>
        </w:rPr>
        <w:t>Los autores enfatizaban que l</w:t>
      </w:r>
      <w:r w:rsidRPr="000F4262">
        <w:rPr>
          <w:rFonts w:ascii="Times New Roman" w:hAnsi="Times New Roman" w:cs="Times New Roman"/>
          <w:sz w:val="24"/>
          <w:szCs w:val="24"/>
        </w:rPr>
        <w:t>os jóvenes</w:t>
      </w:r>
      <w:r>
        <w:rPr>
          <w:rFonts w:ascii="Times New Roman" w:hAnsi="Times New Roman" w:cs="Times New Roman"/>
          <w:sz w:val="24"/>
          <w:szCs w:val="24"/>
        </w:rPr>
        <w:t xml:space="preserve"> </w:t>
      </w:r>
      <w:r w:rsidRPr="000F4262">
        <w:rPr>
          <w:rFonts w:ascii="Times New Roman" w:hAnsi="Times New Roman" w:cs="Times New Roman"/>
          <w:sz w:val="24"/>
          <w:szCs w:val="24"/>
        </w:rPr>
        <w:t>-que compon</w:t>
      </w:r>
      <w:r>
        <w:rPr>
          <w:rFonts w:ascii="Times New Roman" w:hAnsi="Times New Roman" w:cs="Times New Roman"/>
          <w:sz w:val="24"/>
          <w:szCs w:val="24"/>
        </w:rPr>
        <w:t>ían</w:t>
      </w:r>
      <w:r w:rsidRPr="000F4262">
        <w:rPr>
          <w:rFonts w:ascii="Times New Roman" w:hAnsi="Times New Roman" w:cs="Times New Roman"/>
          <w:sz w:val="24"/>
          <w:szCs w:val="24"/>
        </w:rPr>
        <w:t xml:space="preserve"> un 20% de la población activa- conforman un grupo poblacional particularmente afectado por el</w:t>
      </w:r>
      <w:r>
        <w:rPr>
          <w:rFonts w:ascii="Times New Roman" w:hAnsi="Times New Roman" w:cs="Times New Roman"/>
          <w:sz w:val="24"/>
          <w:szCs w:val="24"/>
        </w:rPr>
        <w:t xml:space="preserve"> </w:t>
      </w:r>
      <w:r w:rsidRPr="000F4262">
        <w:rPr>
          <w:rFonts w:ascii="Times New Roman" w:hAnsi="Times New Roman" w:cs="Times New Roman"/>
          <w:sz w:val="24"/>
          <w:szCs w:val="24"/>
        </w:rPr>
        <w:t>problema del desempleo, ya que la proporción de</w:t>
      </w:r>
      <w:r>
        <w:rPr>
          <w:rFonts w:ascii="Times New Roman" w:hAnsi="Times New Roman" w:cs="Times New Roman"/>
          <w:sz w:val="24"/>
          <w:szCs w:val="24"/>
        </w:rPr>
        <w:t xml:space="preserve"> los mismos</w:t>
      </w:r>
      <w:r w:rsidRPr="000F4262">
        <w:rPr>
          <w:rFonts w:ascii="Times New Roman" w:hAnsi="Times New Roman" w:cs="Times New Roman"/>
          <w:sz w:val="24"/>
          <w:szCs w:val="24"/>
        </w:rPr>
        <w:t xml:space="preserve"> en el desempleo global alcanzaba una cifra del 40%</w:t>
      </w:r>
      <w:r>
        <w:rPr>
          <w:rFonts w:ascii="Times New Roman" w:hAnsi="Times New Roman" w:cs="Times New Roman"/>
          <w:sz w:val="24"/>
          <w:szCs w:val="24"/>
        </w:rPr>
        <w:t xml:space="preserve"> al año 2004. </w:t>
      </w:r>
    </w:p>
    <w:p w:rsidR="000F4262" w:rsidRPr="00FF3BAC" w:rsidRDefault="000F4262" w:rsidP="008C4038">
      <w:pPr>
        <w:autoSpaceDE w:val="0"/>
        <w:autoSpaceDN w:val="0"/>
        <w:adjustRightInd w:val="0"/>
        <w:spacing w:after="0" w:line="360" w:lineRule="auto"/>
        <w:ind w:firstLine="340"/>
        <w:jc w:val="both"/>
        <w:rPr>
          <w:rFonts w:ascii="Times New Roman" w:hAnsi="Times New Roman" w:cs="Times New Roman"/>
          <w:sz w:val="24"/>
          <w:szCs w:val="24"/>
          <w:highlight w:val="lightGray"/>
        </w:rPr>
      </w:pPr>
      <w:r>
        <w:rPr>
          <w:rFonts w:ascii="Times New Roman" w:hAnsi="Times New Roman" w:cs="Times New Roman"/>
          <w:sz w:val="24"/>
          <w:szCs w:val="24"/>
        </w:rPr>
        <w:lastRenderedPageBreak/>
        <w:t xml:space="preserve">No obstante, </w:t>
      </w:r>
      <w:r w:rsidR="005D60EB">
        <w:rPr>
          <w:rFonts w:ascii="Times New Roman" w:hAnsi="Times New Roman" w:cs="Times New Roman"/>
          <w:sz w:val="24"/>
          <w:szCs w:val="24"/>
        </w:rPr>
        <w:t>punta a punta d</w:t>
      </w:r>
      <w:r>
        <w:rPr>
          <w:rFonts w:ascii="Times New Roman" w:hAnsi="Times New Roman" w:cs="Times New Roman"/>
          <w:sz w:val="24"/>
          <w:szCs w:val="24"/>
        </w:rPr>
        <w:t>el periodo 2003-2014 en particular para los jóvenes fue positivo en materia laboral, ya que tanto la tasa de desocupación, como la de subocupación involuntaria, la de empleo asalariado no registrado e incluso la de empleo inestable han descendido en más de un 50% para</w:t>
      </w:r>
      <w:r w:rsidR="00B41809">
        <w:rPr>
          <w:rFonts w:ascii="Times New Roman" w:hAnsi="Times New Roman" w:cs="Times New Roman"/>
          <w:sz w:val="24"/>
          <w:szCs w:val="24"/>
        </w:rPr>
        <w:t xml:space="preserve"> los jóvenes que viven en</w:t>
      </w:r>
      <w:r>
        <w:rPr>
          <w:rFonts w:ascii="Times New Roman" w:hAnsi="Times New Roman" w:cs="Times New Roman"/>
          <w:sz w:val="24"/>
          <w:szCs w:val="24"/>
        </w:rPr>
        <w:t xml:space="preserve"> el </w:t>
      </w:r>
      <w:r w:rsidR="005316BB">
        <w:rPr>
          <w:rFonts w:ascii="Times New Roman" w:hAnsi="Times New Roman" w:cs="Times New Roman"/>
          <w:sz w:val="24"/>
          <w:szCs w:val="24"/>
        </w:rPr>
        <w:t>GBA</w:t>
      </w:r>
      <w:r>
        <w:rPr>
          <w:rFonts w:ascii="Times New Roman" w:hAnsi="Times New Roman" w:cs="Times New Roman"/>
          <w:sz w:val="24"/>
          <w:szCs w:val="24"/>
        </w:rPr>
        <w:t xml:space="preserve"> (CIPPEC, 2014)</w:t>
      </w:r>
      <w:r w:rsidR="009526AF">
        <w:rPr>
          <w:rFonts w:ascii="Times New Roman" w:hAnsi="Times New Roman" w:cs="Times New Roman"/>
          <w:sz w:val="24"/>
          <w:szCs w:val="24"/>
        </w:rPr>
        <w:t xml:space="preserve">. </w:t>
      </w:r>
    </w:p>
    <w:p w:rsidR="000F4262" w:rsidRPr="00753C56" w:rsidRDefault="000F4262" w:rsidP="008C4038">
      <w:pPr>
        <w:pStyle w:val="Default"/>
        <w:spacing w:line="360" w:lineRule="auto"/>
        <w:ind w:firstLine="340"/>
        <w:jc w:val="both"/>
        <w:rPr>
          <w:rFonts w:ascii="Times New Roman" w:eastAsiaTheme="minorEastAsia" w:hAnsi="Times New Roman" w:cs="Times New Roman"/>
          <w:color w:val="auto"/>
        </w:rPr>
      </w:pPr>
      <w:r>
        <w:rPr>
          <w:rFonts w:ascii="Times New Roman" w:eastAsiaTheme="minorEastAsia" w:hAnsi="Times New Roman" w:cs="Times New Roman"/>
          <w:color w:val="auto"/>
        </w:rPr>
        <w:t>Sin embargo, nuevamente se vuelve importante diferenciar fases respecto al ciclo económico, siendo de gran interés para el análisis debido a que existe una estrecha relación -reconocida en l</w:t>
      </w:r>
      <w:r w:rsidR="005D60EB">
        <w:rPr>
          <w:rFonts w:ascii="Times New Roman" w:eastAsiaTheme="minorEastAsia" w:hAnsi="Times New Roman" w:cs="Times New Roman"/>
          <w:color w:val="auto"/>
        </w:rPr>
        <w:t>a literatura internacional y regional</w:t>
      </w:r>
      <w:r w:rsidR="00753C56">
        <w:rPr>
          <w:rFonts w:ascii="Times New Roman" w:eastAsiaTheme="minorEastAsia" w:hAnsi="Times New Roman" w:cs="Times New Roman"/>
          <w:color w:val="auto"/>
        </w:rPr>
        <w:t xml:space="preserve"> (</w:t>
      </w:r>
      <w:proofErr w:type="spellStart"/>
      <w:r w:rsidR="00753C56" w:rsidRPr="00753C56">
        <w:rPr>
          <w:rFonts w:ascii="Times New Roman" w:eastAsiaTheme="minorEastAsia" w:hAnsi="Times New Roman" w:cs="Times New Roman"/>
          <w:color w:val="auto"/>
        </w:rPr>
        <w:t>Freeman</w:t>
      </w:r>
      <w:proofErr w:type="spellEnd"/>
      <w:r w:rsidR="00753C56" w:rsidRPr="00753C56">
        <w:rPr>
          <w:rFonts w:ascii="Times New Roman" w:eastAsiaTheme="minorEastAsia" w:hAnsi="Times New Roman" w:cs="Times New Roman"/>
          <w:color w:val="auto"/>
        </w:rPr>
        <w:t xml:space="preserve"> y </w:t>
      </w:r>
      <w:proofErr w:type="spellStart"/>
      <w:r w:rsidR="00753C56" w:rsidRPr="00753C56">
        <w:rPr>
          <w:rFonts w:ascii="Times New Roman" w:eastAsiaTheme="minorEastAsia" w:hAnsi="Times New Roman" w:cs="Times New Roman"/>
          <w:color w:val="auto"/>
        </w:rPr>
        <w:t>Wise</w:t>
      </w:r>
      <w:proofErr w:type="spellEnd"/>
      <w:r w:rsidR="00753C56" w:rsidRPr="00753C56">
        <w:rPr>
          <w:rFonts w:ascii="Times New Roman" w:eastAsiaTheme="minorEastAsia" w:hAnsi="Times New Roman" w:cs="Times New Roman"/>
          <w:color w:val="auto"/>
        </w:rPr>
        <w:t xml:space="preserve"> (1982) realizaron un trabajo pionero sobre el tema. Véase también OIT (2010), (2015), </w:t>
      </w:r>
      <w:proofErr w:type="spellStart"/>
      <w:r w:rsidR="00753C56" w:rsidRPr="00753C56">
        <w:rPr>
          <w:rFonts w:ascii="Times New Roman" w:eastAsiaTheme="minorEastAsia" w:hAnsi="Times New Roman" w:cs="Times New Roman"/>
          <w:color w:val="auto"/>
        </w:rPr>
        <w:t>Vezza</w:t>
      </w:r>
      <w:proofErr w:type="spellEnd"/>
      <w:r w:rsidR="00753C56" w:rsidRPr="00753C56">
        <w:rPr>
          <w:rFonts w:ascii="Times New Roman" w:eastAsiaTheme="minorEastAsia" w:hAnsi="Times New Roman" w:cs="Times New Roman"/>
          <w:color w:val="auto"/>
        </w:rPr>
        <w:t xml:space="preserve"> y </w:t>
      </w:r>
      <w:proofErr w:type="spellStart"/>
      <w:r w:rsidR="00753C56" w:rsidRPr="00753C56">
        <w:rPr>
          <w:rFonts w:ascii="Times New Roman" w:eastAsiaTheme="minorEastAsia" w:hAnsi="Times New Roman" w:cs="Times New Roman"/>
          <w:color w:val="auto"/>
        </w:rPr>
        <w:t>Bertranou</w:t>
      </w:r>
      <w:proofErr w:type="spellEnd"/>
      <w:r w:rsidR="00753C56" w:rsidRPr="00753C56">
        <w:rPr>
          <w:rFonts w:ascii="Times New Roman" w:eastAsiaTheme="minorEastAsia" w:hAnsi="Times New Roman" w:cs="Times New Roman"/>
          <w:color w:val="auto"/>
        </w:rPr>
        <w:t xml:space="preserve"> (2011</w:t>
      </w:r>
      <w:r w:rsidR="00753C56">
        <w:rPr>
          <w:rFonts w:ascii="Times New Roman" w:eastAsiaTheme="minorEastAsia" w:hAnsi="Times New Roman" w:cs="Times New Roman"/>
          <w:color w:val="auto"/>
        </w:rPr>
        <w:t xml:space="preserve">); Paz </w:t>
      </w:r>
      <w:r w:rsidR="00753C56" w:rsidRPr="00753C56">
        <w:rPr>
          <w:rFonts w:ascii="Times New Roman" w:eastAsiaTheme="minorEastAsia" w:hAnsi="Times New Roman" w:cs="Times New Roman"/>
          <w:color w:val="auto"/>
        </w:rPr>
        <w:t>(2012), entre otros)</w:t>
      </w:r>
      <w:r>
        <w:rPr>
          <w:rFonts w:ascii="Times New Roman" w:eastAsiaTheme="minorEastAsia" w:hAnsi="Times New Roman" w:cs="Times New Roman"/>
          <w:color w:val="auto"/>
        </w:rPr>
        <w:t xml:space="preserve">- entre los cambios de la coyuntura y el desempleo juvenil. </w:t>
      </w:r>
    </w:p>
    <w:p w:rsidR="00B41809" w:rsidRDefault="000F4262" w:rsidP="008C4038">
      <w:pPr>
        <w:pStyle w:val="Default"/>
        <w:spacing w:line="360" w:lineRule="auto"/>
        <w:ind w:firstLine="340"/>
        <w:jc w:val="both"/>
        <w:rPr>
          <w:rFonts w:ascii="Times New Roman" w:hAnsi="Times New Roman" w:cs="Times New Roman"/>
        </w:rPr>
      </w:pPr>
      <w:r>
        <w:rPr>
          <w:rFonts w:ascii="Times New Roman" w:eastAsiaTheme="minorEastAsia" w:hAnsi="Times New Roman" w:cs="Times New Roman"/>
          <w:color w:val="auto"/>
        </w:rPr>
        <w:t xml:space="preserve">En un primer momento, que suele situarse entre el año 2003 y el 2007, se puede observar </w:t>
      </w:r>
      <w:r w:rsidRPr="00EF25D2">
        <w:rPr>
          <w:rFonts w:ascii="Times New Roman" w:eastAsiaTheme="minorEastAsia" w:hAnsi="Times New Roman" w:cs="Times New Roman"/>
          <w:color w:val="auto"/>
        </w:rPr>
        <w:t>una mejora notable en el desempeño del mercado de trabajo</w:t>
      </w:r>
      <w:r>
        <w:rPr>
          <w:rFonts w:ascii="Times New Roman" w:eastAsiaTheme="minorEastAsia" w:hAnsi="Times New Roman" w:cs="Times New Roman"/>
          <w:color w:val="auto"/>
        </w:rPr>
        <w:t xml:space="preserve"> </w:t>
      </w:r>
      <w:r w:rsidRPr="00EF25D2">
        <w:rPr>
          <w:rFonts w:ascii="Times New Roman" w:eastAsiaTheme="minorEastAsia" w:hAnsi="Times New Roman" w:cs="Times New Roman"/>
          <w:color w:val="auto"/>
        </w:rPr>
        <w:t>luego de la profunda crisis de 200</w:t>
      </w:r>
      <w:r w:rsidR="00056F42">
        <w:rPr>
          <w:rFonts w:ascii="Times New Roman" w:eastAsiaTheme="minorEastAsia" w:hAnsi="Times New Roman" w:cs="Times New Roman"/>
          <w:color w:val="auto"/>
        </w:rPr>
        <w:t>1</w:t>
      </w:r>
      <w:r>
        <w:rPr>
          <w:rFonts w:ascii="Times New Roman" w:eastAsiaTheme="minorEastAsia" w:hAnsi="Times New Roman" w:cs="Times New Roman"/>
          <w:color w:val="auto"/>
        </w:rPr>
        <w:t>. Durante este ciclo, que denominaremos de crecimiento y recuperación económica, se observa un aumento en la tasa de empleo juvenil, y una marcada caída de la tasa de desocupación (del 30% al 15% aproxi</w:t>
      </w:r>
      <w:r w:rsidR="005D60EB">
        <w:rPr>
          <w:rFonts w:ascii="Times New Roman" w:eastAsiaTheme="minorEastAsia" w:hAnsi="Times New Roman" w:cs="Times New Roman"/>
          <w:color w:val="auto"/>
        </w:rPr>
        <w:t xml:space="preserve">madamente según datos de CIPPEC </w:t>
      </w:r>
      <w:r>
        <w:rPr>
          <w:rFonts w:ascii="Times New Roman" w:eastAsiaTheme="minorEastAsia" w:hAnsi="Times New Roman" w:cs="Times New Roman"/>
          <w:color w:val="auto"/>
        </w:rPr>
        <w:t xml:space="preserve">para el </w:t>
      </w:r>
      <w:r w:rsidR="005316BB">
        <w:rPr>
          <w:rFonts w:ascii="Times New Roman" w:eastAsiaTheme="minorEastAsia" w:hAnsi="Times New Roman" w:cs="Times New Roman"/>
          <w:color w:val="auto"/>
        </w:rPr>
        <w:t>GBA</w:t>
      </w:r>
      <w:r w:rsidR="005D60EB">
        <w:rPr>
          <w:rFonts w:ascii="Times New Roman" w:eastAsiaTheme="minorEastAsia" w:hAnsi="Times New Roman" w:cs="Times New Roman"/>
          <w:color w:val="auto"/>
        </w:rPr>
        <w:t>, en el año 2014</w:t>
      </w:r>
      <w:r>
        <w:rPr>
          <w:rFonts w:ascii="Times New Roman" w:eastAsiaTheme="minorEastAsia" w:hAnsi="Times New Roman" w:cs="Times New Roman"/>
          <w:color w:val="auto"/>
        </w:rPr>
        <w:t xml:space="preserve">). Ahora bien, las brechas entre las tasas de actividad, empleo y desocupación de jóvenes y adultos </w:t>
      </w:r>
      <w:r w:rsidR="005D60EB">
        <w:rPr>
          <w:rFonts w:ascii="Times New Roman" w:eastAsiaTheme="minorEastAsia" w:hAnsi="Times New Roman" w:cs="Times New Roman"/>
          <w:color w:val="auto"/>
        </w:rPr>
        <w:t>persistieron</w:t>
      </w:r>
      <w:r>
        <w:rPr>
          <w:rFonts w:ascii="Times New Roman" w:eastAsiaTheme="minorEastAsia" w:hAnsi="Times New Roman" w:cs="Times New Roman"/>
          <w:color w:val="auto"/>
        </w:rPr>
        <w:t xml:space="preserve"> significativamente; las tasas promedio de actividad y de empleo juvenil se colocaron alrededor de 20 puntos porcentuales por debajo de las de los adultos. </w:t>
      </w:r>
      <w:r w:rsidR="00B41809">
        <w:rPr>
          <w:rFonts w:ascii="Times New Roman" w:hAnsi="Times New Roman" w:cs="Times New Roman"/>
        </w:rPr>
        <w:t>Lo mismo podemos observar</w:t>
      </w:r>
      <w:r w:rsidRPr="00314F9D">
        <w:rPr>
          <w:rFonts w:ascii="Times New Roman" w:hAnsi="Times New Roman" w:cs="Times New Roman"/>
        </w:rPr>
        <w:t xml:space="preserve"> según datos de OIT (2015)</w:t>
      </w:r>
      <w:r w:rsidR="00B41809">
        <w:rPr>
          <w:rFonts w:ascii="Times New Roman" w:hAnsi="Times New Roman" w:cs="Times New Roman"/>
        </w:rPr>
        <w:t xml:space="preserve"> sobre</w:t>
      </w:r>
      <w:r w:rsidRPr="00314F9D">
        <w:rPr>
          <w:rFonts w:ascii="Times New Roman" w:hAnsi="Times New Roman" w:cs="Times New Roman"/>
        </w:rPr>
        <w:t xml:space="preserve"> la brecha salarial entre </w:t>
      </w:r>
      <w:r w:rsidR="00B41809">
        <w:rPr>
          <w:rFonts w:ascii="Times New Roman" w:hAnsi="Times New Roman" w:cs="Times New Roman"/>
        </w:rPr>
        <w:t>ambos grupos. L</w:t>
      </w:r>
      <w:r w:rsidRPr="00314F9D">
        <w:rPr>
          <w:rFonts w:ascii="Times New Roman" w:hAnsi="Times New Roman" w:cs="Times New Roman"/>
        </w:rPr>
        <w:t xml:space="preserve">uego de ampliarse en la década de los noventa, se redujo para estos primeros años de la </w:t>
      </w:r>
      <w:r w:rsidR="000C0411">
        <w:rPr>
          <w:rFonts w:ascii="Times New Roman" w:hAnsi="Times New Roman" w:cs="Times New Roman"/>
        </w:rPr>
        <w:t>post-convertibilidad</w:t>
      </w:r>
      <w:r w:rsidRPr="00314F9D">
        <w:rPr>
          <w:rFonts w:ascii="Times New Roman" w:hAnsi="Times New Roman" w:cs="Times New Roman"/>
        </w:rPr>
        <w:t xml:space="preserve"> </w:t>
      </w:r>
      <w:r w:rsidR="00B41809">
        <w:rPr>
          <w:rFonts w:ascii="Times New Roman" w:hAnsi="Times New Roman" w:cs="Times New Roman"/>
        </w:rPr>
        <w:t>tras haber alcanzado</w:t>
      </w:r>
      <w:r w:rsidR="001717B4">
        <w:rPr>
          <w:rFonts w:ascii="Times New Roman" w:hAnsi="Times New Roman" w:cs="Times New Roman"/>
        </w:rPr>
        <w:t xml:space="preserve"> niveles récord</w:t>
      </w:r>
      <w:r w:rsidRPr="00314F9D">
        <w:rPr>
          <w:rFonts w:ascii="Times New Roman" w:hAnsi="Times New Roman" w:cs="Times New Roman"/>
        </w:rPr>
        <w:t xml:space="preserve"> de desempleo e informalidad labo</w:t>
      </w:r>
      <w:r>
        <w:rPr>
          <w:rFonts w:ascii="Times New Roman" w:hAnsi="Times New Roman" w:cs="Times New Roman"/>
        </w:rPr>
        <w:t>r</w:t>
      </w:r>
      <w:r w:rsidR="00B41809">
        <w:rPr>
          <w:rFonts w:ascii="Times New Roman" w:hAnsi="Times New Roman" w:cs="Times New Roman"/>
        </w:rPr>
        <w:t xml:space="preserve">al debido a la crisis de 2001, pero </w:t>
      </w:r>
      <w:r>
        <w:rPr>
          <w:rFonts w:ascii="Times New Roman" w:hAnsi="Times New Roman" w:cs="Times New Roman"/>
        </w:rPr>
        <w:t xml:space="preserve">aún </w:t>
      </w:r>
      <w:r w:rsidR="005D60EB">
        <w:rPr>
          <w:rFonts w:ascii="Times New Roman" w:hAnsi="Times New Roman" w:cs="Times New Roman"/>
        </w:rPr>
        <w:t>persiste</w:t>
      </w:r>
      <w:r>
        <w:rPr>
          <w:rFonts w:ascii="Times New Roman" w:hAnsi="Times New Roman" w:cs="Times New Roman"/>
        </w:rPr>
        <w:t xml:space="preserve"> significativamente. </w:t>
      </w:r>
    </w:p>
    <w:p w:rsidR="000F4262" w:rsidRPr="00314F9D" w:rsidRDefault="000F4262" w:rsidP="008C4038">
      <w:pPr>
        <w:pStyle w:val="Default"/>
        <w:spacing w:line="360" w:lineRule="auto"/>
        <w:ind w:firstLine="340"/>
        <w:jc w:val="both"/>
        <w:rPr>
          <w:rFonts w:ascii="Times New Roman" w:hAnsi="Times New Roman" w:cs="Times New Roman"/>
        </w:rPr>
      </w:pPr>
      <w:r>
        <w:rPr>
          <w:rFonts w:ascii="Times New Roman" w:hAnsi="Times New Roman" w:cs="Times New Roman"/>
        </w:rPr>
        <w:t xml:space="preserve">Si bien el mercado laboral argentino ha mejorado notablemente, algunos avances en esta materia han sido más modestos para la segunda fase, que se suele situar en los años 2008 y 2009 debido a la crisis financiera internacional. </w:t>
      </w:r>
    </w:p>
    <w:p w:rsidR="000F4262" w:rsidRPr="00540EA1" w:rsidRDefault="000F4262" w:rsidP="008C4038">
      <w:pPr>
        <w:pStyle w:val="Default"/>
        <w:spacing w:line="360" w:lineRule="auto"/>
        <w:ind w:firstLine="340"/>
        <w:jc w:val="both"/>
        <w:rPr>
          <w:rFonts w:ascii="Times New Roman" w:hAnsi="Times New Roman" w:cs="Times New Roman"/>
        </w:rPr>
      </w:pPr>
      <w:r>
        <w:rPr>
          <w:rFonts w:ascii="Times New Roman" w:hAnsi="Times New Roman" w:cs="Times New Roman"/>
        </w:rPr>
        <w:t xml:space="preserve">En </w:t>
      </w:r>
      <w:r w:rsidRPr="00540EA1">
        <w:rPr>
          <w:rFonts w:ascii="Times New Roman" w:hAnsi="Times New Roman" w:cs="Times New Roman"/>
        </w:rPr>
        <w:t>aquellos años la tasa de actividad de los jóvenes cayó 4 p</w:t>
      </w:r>
      <w:r w:rsidR="00540EA1" w:rsidRPr="00540EA1">
        <w:rPr>
          <w:rFonts w:ascii="Times New Roman" w:hAnsi="Times New Roman" w:cs="Times New Roman"/>
        </w:rPr>
        <w:t>untos porcentuales y la tasa de</w:t>
      </w:r>
      <w:r w:rsidR="00540EA1">
        <w:rPr>
          <w:rFonts w:ascii="Times New Roman" w:hAnsi="Times New Roman" w:cs="Times New Roman"/>
        </w:rPr>
        <w:t xml:space="preserve"> </w:t>
      </w:r>
      <w:r w:rsidRPr="00540EA1">
        <w:rPr>
          <w:rFonts w:ascii="Times New Roman" w:hAnsi="Times New Roman" w:cs="Times New Roman"/>
        </w:rPr>
        <w:t xml:space="preserve">desocupación más que duplicó a la adulta, incrementándose en 3 </w:t>
      </w:r>
      <w:proofErr w:type="spellStart"/>
      <w:r w:rsidRPr="00540EA1">
        <w:rPr>
          <w:rFonts w:ascii="Times New Roman" w:hAnsi="Times New Roman" w:cs="Times New Roman"/>
        </w:rPr>
        <w:t>p.p</w:t>
      </w:r>
      <w:proofErr w:type="spellEnd"/>
      <w:r w:rsidRPr="00540EA1">
        <w:rPr>
          <w:rFonts w:ascii="Times New Roman" w:hAnsi="Times New Roman" w:cs="Times New Roman"/>
        </w:rPr>
        <w:t xml:space="preserve"> en la crisis de 2009, y a partir de allí manteniéndose estables hacia el año 2012. </w:t>
      </w:r>
      <w:r w:rsidR="005D60EB" w:rsidRPr="00540EA1">
        <w:rPr>
          <w:rFonts w:ascii="Times New Roman" w:hAnsi="Times New Roman" w:cs="Times New Roman"/>
        </w:rPr>
        <w:t>Entre los</w:t>
      </w:r>
      <w:r w:rsidR="00B41809" w:rsidRPr="00540EA1">
        <w:rPr>
          <w:rFonts w:ascii="Times New Roman" w:hAnsi="Times New Roman" w:cs="Times New Roman"/>
        </w:rPr>
        <w:t xml:space="preserve"> años 2010 al 2014, en donde los avances registrados en la primera fase de alguna forma se estancaron</w:t>
      </w:r>
      <w:r w:rsidR="005D60EB" w:rsidRPr="00540EA1">
        <w:rPr>
          <w:rFonts w:ascii="Times New Roman" w:hAnsi="Times New Roman" w:cs="Times New Roman"/>
        </w:rPr>
        <w:t>, persistieron</w:t>
      </w:r>
      <w:r w:rsidR="00B41809" w:rsidRPr="00540EA1">
        <w:rPr>
          <w:rFonts w:ascii="Times New Roman" w:hAnsi="Times New Roman" w:cs="Times New Roman"/>
        </w:rPr>
        <w:t xml:space="preserve"> brechas que parecerían conformar un núcleo duro estructural difícil de sortear para los jóvenes. </w:t>
      </w:r>
      <w:r w:rsidR="009251A1" w:rsidRPr="00540EA1">
        <w:rPr>
          <w:rFonts w:ascii="Times New Roman" w:hAnsi="Times New Roman" w:cs="Times New Roman"/>
        </w:rPr>
        <w:t xml:space="preserve">El crecimiento sostenido en el nivel de actividad económica </w:t>
      </w:r>
      <w:r w:rsidR="005D60EB" w:rsidRPr="00540EA1">
        <w:rPr>
          <w:rFonts w:ascii="Times New Roman" w:hAnsi="Times New Roman" w:cs="Times New Roman"/>
        </w:rPr>
        <w:t>a partir del</w:t>
      </w:r>
      <w:r w:rsidR="009251A1" w:rsidRPr="00540EA1">
        <w:rPr>
          <w:rFonts w:ascii="Times New Roman" w:hAnsi="Times New Roman" w:cs="Times New Roman"/>
        </w:rPr>
        <w:t xml:space="preserve"> año 2003 –con una interrupción durante los años 2008 y 2009 producto de la crisis internacional-, tuvo su correlato en un aumento en el </w:t>
      </w:r>
      <w:r w:rsidR="009251A1" w:rsidRPr="00540EA1">
        <w:rPr>
          <w:rFonts w:ascii="Times New Roman" w:hAnsi="Times New Roman" w:cs="Times New Roman"/>
        </w:rPr>
        <w:lastRenderedPageBreak/>
        <w:t>empleo, una baja sustancial en la desocupación, y una mejora general en los indicadores ocupacionales. La situación laboral de la población joven acompañó este proceso, aunque su tasa de desempleo continuó siendo superior a la de los adultos y sus inserciones se mantuvieron inmersas en la precariedad e inestabilidad (</w:t>
      </w:r>
      <w:proofErr w:type="spellStart"/>
      <w:r w:rsidR="009251A1" w:rsidRPr="00540EA1">
        <w:rPr>
          <w:rFonts w:ascii="Times New Roman" w:hAnsi="Times New Roman" w:cs="Times New Roman"/>
        </w:rPr>
        <w:t>Perez</w:t>
      </w:r>
      <w:proofErr w:type="spellEnd"/>
      <w:r w:rsidR="009251A1" w:rsidRPr="00540EA1">
        <w:rPr>
          <w:rFonts w:ascii="Times New Roman" w:hAnsi="Times New Roman" w:cs="Times New Roman"/>
        </w:rPr>
        <w:t xml:space="preserve"> y </w:t>
      </w:r>
      <w:r w:rsidR="00F53F63" w:rsidRPr="00540EA1">
        <w:rPr>
          <w:rFonts w:ascii="Times New Roman" w:hAnsi="Times New Roman" w:cs="Times New Roman"/>
        </w:rPr>
        <w:t xml:space="preserve">Fernández </w:t>
      </w:r>
      <w:proofErr w:type="spellStart"/>
      <w:r w:rsidR="009251A1" w:rsidRPr="00540EA1">
        <w:rPr>
          <w:rFonts w:ascii="Times New Roman" w:hAnsi="Times New Roman" w:cs="Times New Roman"/>
        </w:rPr>
        <w:t>Massi</w:t>
      </w:r>
      <w:proofErr w:type="spellEnd"/>
      <w:r w:rsidR="009251A1" w:rsidRPr="00540EA1">
        <w:rPr>
          <w:rFonts w:ascii="Times New Roman" w:hAnsi="Times New Roman" w:cs="Times New Roman"/>
        </w:rPr>
        <w:t>, 2013).</w:t>
      </w:r>
    </w:p>
    <w:p w:rsidR="00CF0F49" w:rsidRDefault="00CF0F49" w:rsidP="000F4262">
      <w:pPr>
        <w:autoSpaceDE w:val="0"/>
        <w:autoSpaceDN w:val="0"/>
        <w:adjustRightInd w:val="0"/>
        <w:spacing w:after="0" w:line="360" w:lineRule="auto"/>
        <w:jc w:val="both"/>
        <w:rPr>
          <w:rFonts w:ascii="Times New Roman" w:hAnsi="Times New Roman" w:cs="Times New Roman"/>
          <w:sz w:val="24"/>
          <w:szCs w:val="24"/>
        </w:rPr>
      </w:pPr>
    </w:p>
    <w:p w:rsidR="00EB1ED6" w:rsidRPr="00056F42" w:rsidRDefault="00EB1ED6" w:rsidP="00202565">
      <w:pPr>
        <w:pStyle w:val="Prrafodelista"/>
        <w:numPr>
          <w:ilvl w:val="0"/>
          <w:numId w:val="21"/>
        </w:numPr>
        <w:tabs>
          <w:tab w:val="left" w:pos="2955"/>
        </w:tabs>
        <w:spacing w:line="360" w:lineRule="auto"/>
        <w:jc w:val="both"/>
        <w:rPr>
          <w:rFonts w:ascii="Times New Roman" w:hAnsi="Times New Roman" w:cs="Times New Roman"/>
          <w:sz w:val="24"/>
        </w:rPr>
      </w:pPr>
      <w:r w:rsidRPr="00F73BDF">
        <w:rPr>
          <w:rFonts w:ascii="Times New Roman" w:hAnsi="Times New Roman" w:cs="Times New Roman"/>
          <w:b/>
          <w:sz w:val="24"/>
        </w:rPr>
        <w:t xml:space="preserve">Distribución sectorial del empleo joven durante el periodo </w:t>
      </w:r>
      <w:r w:rsidR="00F53F63">
        <w:rPr>
          <w:rFonts w:ascii="Times New Roman" w:hAnsi="Times New Roman" w:cs="Times New Roman"/>
          <w:b/>
          <w:sz w:val="24"/>
        </w:rPr>
        <w:t>1992</w:t>
      </w:r>
      <w:r w:rsidRPr="00F73BDF">
        <w:rPr>
          <w:rFonts w:ascii="Times New Roman" w:hAnsi="Times New Roman" w:cs="Times New Roman"/>
          <w:b/>
          <w:sz w:val="24"/>
        </w:rPr>
        <w:t>-2014</w:t>
      </w:r>
      <w:r>
        <w:rPr>
          <w:rFonts w:ascii="Times New Roman" w:hAnsi="Times New Roman" w:cs="Times New Roman"/>
          <w:b/>
          <w:sz w:val="24"/>
        </w:rPr>
        <w:t xml:space="preserve">. </w:t>
      </w:r>
    </w:p>
    <w:p w:rsidR="00056F42" w:rsidRPr="00056F42" w:rsidRDefault="00056F42" w:rsidP="008C4038">
      <w:pPr>
        <w:pStyle w:val="Default"/>
        <w:spacing w:line="360" w:lineRule="auto"/>
        <w:ind w:firstLine="340"/>
        <w:jc w:val="both"/>
        <w:rPr>
          <w:rFonts w:ascii="Times New Roman" w:hAnsi="Times New Roman" w:cs="Times New Roman"/>
        </w:rPr>
      </w:pPr>
      <w:r w:rsidRPr="00056F42">
        <w:rPr>
          <w:rFonts w:ascii="Times New Roman" w:hAnsi="Times New Roman" w:cs="Times New Roman"/>
        </w:rPr>
        <w:t xml:space="preserve">Bajo los supuestos teóricos presentados, se recuperan aquí los lineamientos metodológicos propuestos por el Programa Cambio Estructural y Desigualdad Social, que retoma el enfoque de PREALC-OIT (1978) en donde se contempla el tamaño del establecimiento y el carácter público o privado de las unidades económicas, así como también la calificación profesional de los ocupados en el caso de los empleos no asalariados, permitiendo segmentar el tipo de inserción productiva según los diferenciales teóricos de productividad asociados a las unidades económicas. En este sentido Salvia, Vera y </w:t>
      </w:r>
      <w:proofErr w:type="spellStart"/>
      <w:r w:rsidRPr="00056F42">
        <w:rPr>
          <w:rFonts w:ascii="Times New Roman" w:hAnsi="Times New Roman" w:cs="Times New Roman"/>
        </w:rPr>
        <w:t>Poy</w:t>
      </w:r>
      <w:proofErr w:type="spellEnd"/>
      <w:r w:rsidRPr="00056F42">
        <w:rPr>
          <w:rFonts w:ascii="Times New Roman" w:hAnsi="Times New Roman" w:cs="Times New Roman"/>
        </w:rPr>
        <w:t xml:space="preserve"> (2015) distinguen tres tipos de ocupaciones en el mercado de trabajo: ocupaciones en el sector público, ocupaciones en el sector privado moderno o formal y ocupaciones en el sector microempresario informal</w:t>
      </w:r>
      <w:r>
        <w:rPr>
          <w:rStyle w:val="Refdenotaalpie"/>
          <w:rFonts w:ascii="Times New Roman" w:hAnsi="Times New Roman" w:cs="Times New Roman"/>
        </w:rPr>
        <w:footnoteReference w:id="9"/>
      </w:r>
      <w:r w:rsidRPr="00056F42">
        <w:rPr>
          <w:rFonts w:ascii="Times New Roman" w:hAnsi="Times New Roman" w:cs="Times New Roman"/>
        </w:rPr>
        <w:t>. Asimismo, retomando el enfoque institucionalista norteamericano, la demanda laboral queda estratificada en tres grandes segmentos de empleo: segmento primario o empleos regulados, segmento secundario o empleos extralegales y segmento terciario o empleos de indigencia, como empleos no regulados</w:t>
      </w:r>
      <w:r>
        <w:rPr>
          <w:rStyle w:val="Refdenotaalpie"/>
          <w:rFonts w:ascii="Times New Roman" w:hAnsi="Times New Roman" w:cs="Times New Roman"/>
        </w:rPr>
        <w:footnoteReference w:id="10"/>
      </w:r>
      <w:r w:rsidRPr="00056F42">
        <w:rPr>
          <w:rFonts w:ascii="Times New Roman" w:hAnsi="Times New Roman" w:cs="Times New Roman"/>
        </w:rPr>
        <w:t>. De acuerdo a esta corriente no existe un único mercado de trabajo sino diferentes segmentos bajo marcos institucionales disímiles, representando desiguales modalidades de inserción, relaciones laborales y calidad de los puestos de trabajo (</w:t>
      </w:r>
      <w:proofErr w:type="spellStart"/>
      <w:r w:rsidRPr="00056F42">
        <w:rPr>
          <w:rFonts w:ascii="Times New Roman" w:hAnsi="Times New Roman" w:cs="Times New Roman"/>
        </w:rPr>
        <w:t>Piore</w:t>
      </w:r>
      <w:proofErr w:type="spellEnd"/>
      <w:r w:rsidRPr="00056F42">
        <w:rPr>
          <w:rFonts w:ascii="Times New Roman" w:hAnsi="Times New Roman" w:cs="Times New Roman"/>
        </w:rPr>
        <w:t xml:space="preserve">, 1975). </w:t>
      </w:r>
    </w:p>
    <w:p w:rsidR="00056F42" w:rsidRPr="00056F42" w:rsidRDefault="00056F42" w:rsidP="008C4038">
      <w:pPr>
        <w:pStyle w:val="Default"/>
        <w:spacing w:line="360" w:lineRule="auto"/>
        <w:ind w:firstLine="340"/>
        <w:jc w:val="both"/>
        <w:rPr>
          <w:rFonts w:ascii="Times New Roman" w:hAnsi="Times New Roman" w:cs="Times New Roman"/>
        </w:rPr>
      </w:pPr>
      <w:r w:rsidRPr="00056F42">
        <w:rPr>
          <w:rFonts w:ascii="Times New Roman" w:hAnsi="Times New Roman" w:cs="Times New Roman"/>
        </w:rPr>
        <w:t xml:space="preserve">El análisis que aquí presentaremos se centra en el mercado de trabajo joven del GBA durante el periodo neoliberal tomando como años testigo 1992, 1994 y 1998. El año 2001 y 2003 como pre y post crisis respectivamente, y el periodo del </w:t>
      </w:r>
      <w:proofErr w:type="spellStart"/>
      <w:r w:rsidRPr="00056F42">
        <w:rPr>
          <w:rFonts w:ascii="Times New Roman" w:hAnsi="Times New Roman" w:cs="Times New Roman"/>
        </w:rPr>
        <w:t>neodesarrollismo</w:t>
      </w:r>
      <w:proofErr w:type="spellEnd"/>
      <w:r w:rsidRPr="00056F42">
        <w:rPr>
          <w:rFonts w:ascii="Times New Roman" w:hAnsi="Times New Roman" w:cs="Times New Roman"/>
        </w:rPr>
        <w:t xml:space="preserve"> cuyos años testigo serán 2004, 2007, 2012 y 2014. La evidencia fue construida a partir de micro datos de la Encuesta Permanente de Hogares del INDEC</w:t>
      </w:r>
      <w:r>
        <w:rPr>
          <w:rStyle w:val="Refdenotaalpie"/>
          <w:rFonts w:ascii="Times New Roman" w:hAnsi="Times New Roman" w:cs="Times New Roman"/>
        </w:rPr>
        <w:footnoteReference w:id="11"/>
      </w:r>
      <w:r w:rsidRPr="00056F42">
        <w:rPr>
          <w:rFonts w:ascii="Times New Roman" w:hAnsi="Times New Roman" w:cs="Times New Roman"/>
        </w:rPr>
        <w:t xml:space="preserve">. </w:t>
      </w:r>
    </w:p>
    <w:p w:rsidR="00056F42" w:rsidRPr="00056F42" w:rsidRDefault="00056F42" w:rsidP="008C4038">
      <w:pPr>
        <w:pStyle w:val="Default"/>
        <w:spacing w:line="360" w:lineRule="auto"/>
        <w:ind w:firstLine="340"/>
        <w:jc w:val="both"/>
        <w:rPr>
          <w:rFonts w:ascii="Times New Roman" w:hAnsi="Times New Roman" w:cs="Times New Roman"/>
        </w:rPr>
      </w:pPr>
      <w:r w:rsidRPr="00056F42">
        <w:rPr>
          <w:rFonts w:ascii="Times New Roman" w:hAnsi="Times New Roman" w:cs="Times New Roman"/>
        </w:rPr>
        <w:lastRenderedPageBreak/>
        <w:t xml:space="preserve">Interesa destacar como una decisión teórico </w:t>
      </w:r>
      <w:proofErr w:type="gramStart"/>
      <w:r w:rsidRPr="00056F42">
        <w:rPr>
          <w:rFonts w:ascii="Times New Roman" w:hAnsi="Times New Roman" w:cs="Times New Roman"/>
        </w:rPr>
        <w:t>metodológica</w:t>
      </w:r>
      <w:proofErr w:type="gramEnd"/>
      <w:r w:rsidRPr="00056F42">
        <w:rPr>
          <w:rFonts w:ascii="Times New Roman" w:hAnsi="Times New Roman" w:cs="Times New Roman"/>
        </w:rPr>
        <w:t xml:space="preserve"> del estudio el motivo de la elección de los jóvenes de 18 a 29 años. Esto se debe a que la legislación argentina prohíbe mediante la ley de Prohibición de Trabajo Infantil y Protección del Trabajo Adolescente, que los menores de 16 años trabajen, y que los adolescentes de 16 y 17 años si trabajan, deben hacerlo bajo ciertas condiciones. Además, a partir de la Ley de Educación Nacional del año 2006, se han extendido los años de educación obligatoria hasta la finalización del nivel secundario del que los jóvenes argentinos egresan con 18 años (o con 17 años, pero próximos a cumplir los 18). También, las políticas de mercado de trabajo y protección social en Argentina cuentan con un corte de edad en los 18 años debido a que la mayoría de las intervenciones de las políticas públicas consideran a la franja etaria de 18 a 24 años dado que la mitad de este grupo ya participa del mercado de trabajo, denotando el mayor vínculo con el mismo. Se ha decidido la extensión a la edad de 29 años intentando considerar las ya mencionadas y diversas formas de transición a la adultez que no sólo tienen en cuenta la finalización de la escuela secundaria y el ingreso al mercado laboral, sino la posible formación de una familia, la independencia residencial y la construcción de una identidad propia, permitiéndonos así contemplar las heterogéneas maneras de </w:t>
      </w:r>
      <w:r w:rsidRPr="00056F42">
        <w:rPr>
          <w:rFonts w:ascii="Times New Roman" w:hAnsi="Times New Roman" w:cs="Times New Roman"/>
          <w:i/>
        </w:rPr>
        <w:t>“ser joven”.</w:t>
      </w:r>
    </w:p>
    <w:p w:rsidR="00540EA1" w:rsidRDefault="00F53F63" w:rsidP="008C4038">
      <w:pPr>
        <w:pStyle w:val="Default"/>
        <w:spacing w:line="360" w:lineRule="auto"/>
        <w:ind w:firstLine="340"/>
        <w:jc w:val="both"/>
        <w:rPr>
          <w:rFonts w:ascii="Times New Roman" w:hAnsi="Times New Roman" w:cs="Times New Roman"/>
        </w:rPr>
      </w:pPr>
      <w:r>
        <w:rPr>
          <w:rFonts w:ascii="Times New Roman" w:hAnsi="Times New Roman" w:cs="Times New Roman"/>
        </w:rPr>
        <w:t>La información que se presenta a continuación da cuenta de</w:t>
      </w:r>
      <w:r w:rsidR="007F253B" w:rsidRPr="007F253B">
        <w:rPr>
          <w:rFonts w:ascii="Times New Roman" w:hAnsi="Times New Roman" w:cs="Times New Roman"/>
        </w:rPr>
        <w:t xml:space="preserve"> la evolución en la composición de los empleos según sector</w:t>
      </w:r>
      <w:r w:rsidR="00F73BDF">
        <w:rPr>
          <w:rFonts w:ascii="Times New Roman" w:hAnsi="Times New Roman" w:cs="Times New Roman"/>
        </w:rPr>
        <w:t>es</w:t>
      </w:r>
      <w:r w:rsidR="007F253B" w:rsidRPr="007F253B">
        <w:rPr>
          <w:rFonts w:ascii="Times New Roman" w:hAnsi="Times New Roman" w:cs="Times New Roman"/>
        </w:rPr>
        <w:t xml:space="preserve"> </w:t>
      </w:r>
      <w:r w:rsidR="00EA7FE3">
        <w:rPr>
          <w:rFonts w:ascii="Times New Roman" w:hAnsi="Times New Roman" w:cs="Times New Roman"/>
        </w:rPr>
        <w:t xml:space="preserve">económico </w:t>
      </w:r>
      <w:r w:rsidR="007F253B" w:rsidRPr="007F253B">
        <w:rPr>
          <w:rFonts w:ascii="Times New Roman" w:hAnsi="Times New Roman" w:cs="Times New Roman"/>
        </w:rPr>
        <w:t xml:space="preserve">ocupacionales de la fuerza de trabajo joven para el </w:t>
      </w:r>
      <w:r w:rsidR="005316BB">
        <w:rPr>
          <w:rFonts w:ascii="Times New Roman" w:hAnsi="Times New Roman" w:cs="Times New Roman"/>
        </w:rPr>
        <w:t>GBA</w:t>
      </w:r>
      <w:r w:rsidR="007F253B" w:rsidRPr="007F253B">
        <w:rPr>
          <w:rFonts w:ascii="Times New Roman" w:hAnsi="Times New Roman" w:cs="Times New Roman"/>
        </w:rPr>
        <w:t xml:space="preserve"> durante el </w:t>
      </w:r>
      <w:r w:rsidR="00540EA1">
        <w:rPr>
          <w:rFonts w:ascii="Times New Roman" w:hAnsi="Times New Roman" w:cs="Times New Roman"/>
        </w:rPr>
        <w:t xml:space="preserve">régimen neoliberal y el </w:t>
      </w:r>
      <w:proofErr w:type="spellStart"/>
      <w:r w:rsidR="00540EA1">
        <w:rPr>
          <w:rFonts w:ascii="Times New Roman" w:hAnsi="Times New Roman" w:cs="Times New Roman"/>
        </w:rPr>
        <w:t>neodesarrollista</w:t>
      </w:r>
      <w:proofErr w:type="spellEnd"/>
      <w:r w:rsidR="007F253B">
        <w:rPr>
          <w:rFonts w:ascii="Times New Roman" w:hAnsi="Times New Roman" w:cs="Times New Roman"/>
        </w:rPr>
        <w:t xml:space="preserve">, </w:t>
      </w:r>
      <w:r w:rsidR="00CA07CB">
        <w:rPr>
          <w:rFonts w:ascii="Times New Roman" w:hAnsi="Times New Roman" w:cs="Times New Roman"/>
        </w:rPr>
        <w:t xml:space="preserve">tomando los datos de los años 2001 y </w:t>
      </w:r>
      <w:r w:rsidR="007F253B">
        <w:rPr>
          <w:rFonts w:ascii="Times New Roman" w:hAnsi="Times New Roman" w:cs="Times New Roman"/>
        </w:rPr>
        <w:t xml:space="preserve">2003 </w:t>
      </w:r>
      <w:r w:rsidR="00CA07CB">
        <w:rPr>
          <w:rFonts w:ascii="Times New Roman" w:hAnsi="Times New Roman" w:cs="Times New Roman"/>
        </w:rPr>
        <w:t xml:space="preserve">para caracterizar el momento inmediatamente previo y posterior a la crisis socioeconómica y política de aquel periodo. </w:t>
      </w:r>
    </w:p>
    <w:p w:rsidR="009F1B1C" w:rsidRDefault="009F1B1C" w:rsidP="00C704FF">
      <w:pPr>
        <w:tabs>
          <w:tab w:val="left" w:pos="2955"/>
        </w:tabs>
        <w:spacing w:line="240" w:lineRule="auto"/>
        <w:jc w:val="both"/>
        <w:rPr>
          <w:rFonts w:ascii="Times New Roman" w:hAnsi="Times New Roman" w:cs="Times New Roman"/>
        </w:rPr>
      </w:pPr>
    </w:p>
    <w:p w:rsidR="00CA25A3" w:rsidRDefault="00CA25A3" w:rsidP="00C704FF">
      <w:pPr>
        <w:tabs>
          <w:tab w:val="left" w:pos="2955"/>
        </w:tabs>
        <w:spacing w:line="240" w:lineRule="auto"/>
        <w:jc w:val="both"/>
        <w:rPr>
          <w:rFonts w:ascii="Times New Roman" w:hAnsi="Times New Roman" w:cs="Times New Roman"/>
        </w:rPr>
      </w:pPr>
    </w:p>
    <w:p w:rsidR="00CA25A3" w:rsidRDefault="00CA25A3" w:rsidP="00C704FF">
      <w:pPr>
        <w:tabs>
          <w:tab w:val="left" w:pos="2955"/>
        </w:tabs>
        <w:spacing w:line="240" w:lineRule="auto"/>
        <w:jc w:val="both"/>
        <w:rPr>
          <w:rFonts w:ascii="Times New Roman" w:hAnsi="Times New Roman" w:cs="Times New Roman"/>
        </w:rPr>
      </w:pPr>
    </w:p>
    <w:p w:rsidR="00CA25A3" w:rsidRDefault="00CA25A3" w:rsidP="00C704FF">
      <w:pPr>
        <w:tabs>
          <w:tab w:val="left" w:pos="2955"/>
        </w:tabs>
        <w:spacing w:line="240" w:lineRule="auto"/>
        <w:jc w:val="both"/>
        <w:rPr>
          <w:rFonts w:ascii="Times New Roman" w:hAnsi="Times New Roman" w:cs="Times New Roman"/>
        </w:rPr>
      </w:pPr>
    </w:p>
    <w:p w:rsidR="00CA25A3" w:rsidRDefault="00CA25A3" w:rsidP="00C704FF">
      <w:pPr>
        <w:tabs>
          <w:tab w:val="left" w:pos="2955"/>
        </w:tabs>
        <w:spacing w:line="240" w:lineRule="auto"/>
        <w:jc w:val="both"/>
        <w:rPr>
          <w:rFonts w:ascii="Times New Roman" w:hAnsi="Times New Roman" w:cs="Times New Roman"/>
        </w:rPr>
      </w:pPr>
    </w:p>
    <w:p w:rsidR="00CA25A3" w:rsidRDefault="00CA25A3" w:rsidP="00C704FF">
      <w:pPr>
        <w:tabs>
          <w:tab w:val="left" w:pos="2955"/>
        </w:tabs>
        <w:spacing w:line="240" w:lineRule="auto"/>
        <w:jc w:val="both"/>
        <w:rPr>
          <w:rFonts w:ascii="Times New Roman" w:hAnsi="Times New Roman" w:cs="Times New Roman"/>
        </w:rPr>
      </w:pPr>
    </w:p>
    <w:p w:rsidR="00CA25A3" w:rsidRDefault="00CA25A3" w:rsidP="00C704FF">
      <w:pPr>
        <w:tabs>
          <w:tab w:val="left" w:pos="2955"/>
        </w:tabs>
        <w:spacing w:line="240" w:lineRule="auto"/>
        <w:jc w:val="both"/>
        <w:rPr>
          <w:rFonts w:ascii="Times New Roman" w:hAnsi="Times New Roman" w:cs="Times New Roman"/>
        </w:rPr>
      </w:pPr>
    </w:p>
    <w:p w:rsidR="00CA25A3" w:rsidRDefault="00CA25A3" w:rsidP="00C704FF">
      <w:pPr>
        <w:tabs>
          <w:tab w:val="left" w:pos="2955"/>
        </w:tabs>
        <w:spacing w:line="240" w:lineRule="auto"/>
        <w:jc w:val="both"/>
        <w:rPr>
          <w:rFonts w:ascii="Times New Roman" w:hAnsi="Times New Roman" w:cs="Times New Roman"/>
        </w:rPr>
      </w:pPr>
    </w:p>
    <w:p w:rsidR="00F52F59" w:rsidRPr="00F73BDF" w:rsidRDefault="0054053B" w:rsidP="00C704FF">
      <w:pPr>
        <w:tabs>
          <w:tab w:val="left" w:pos="2955"/>
        </w:tabs>
        <w:spacing w:line="240" w:lineRule="auto"/>
        <w:jc w:val="both"/>
        <w:rPr>
          <w:rFonts w:ascii="Times New Roman" w:hAnsi="Times New Roman" w:cs="Times New Roman"/>
          <w:sz w:val="18"/>
        </w:rPr>
      </w:pPr>
      <w:r>
        <w:rPr>
          <w:rFonts w:ascii="Times New Roman" w:hAnsi="Times New Roman" w:cs="Times New Roman"/>
        </w:rPr>
        <w:lastRenderedPageBreak/>
        <w:t>Gráfico n° 3</w:t>
      </w:r>
      <w:r w:rsidR="00540EA1">
        <w:rPr>
          <w:rFonts w:ascii="Times New Roman" w:hAnsi="Times New Roman" w:cs="Times New Roman"/>
        </w:rPr>
        <w:t xml:space="preserve"> P</w:t>
      </w:r>
      <w:r w:rsidR="00F73BDF" w:rsidRPr="003A73DE">
        <w:rPr>
          <w:rFonts w:ascii="Times New Roman" w:hAnsi="Times New Roman" w:cs="Times New Roman"/>
        </w:rPr>
        <w:t>articipación de los sectores económico ocupaci</w:t>
      </w:r>
      <w:r w:rsidR="00520DAB">
        <w:rPr>
          <w:rFonts w:ascii="Times New Roman" w:hAnsi="Times New Roman" w:cs="Times New Roman"/>
        </w:rPr>
        <w:t>onales en el total del empleo. J</w:t>
      </w:r>
      <w:r w:rsidR="00F73BDF" w:rsidRPr="003A73DE">
        <w:rPr>
          <w:rFonts w:ascii="Times New Roman" w:hAnsi="Times New Roman" w:cs="Times New Roman"/>
        </w:rPr>
        <w:t xml:space="preserve">óvenes entre 18 y 29 años. </w:t>
      </w:r>
      <w:r w:rsidR="005316BB">
        <w:rPr>
          <w:rFonts w:ascii="Times New Roman" w:hAnsi="Times New Roman" w:cs="Times New Roman"/>
        </w:rPr>
        <w:t>GBA</w:t>
      </w:r>
      <w:r w:rsidR="00F73BDF" w:rsidRPr="003A73DE">
        <w:rPr>
          <w:rFonts w:ascii="Times New Roman" w:hAnsi="Times New Roman" w:cs="Times New Roman"/>
        </w:rPr>
        <w:t xml:space="preserve"> 1992-2014.</w:t>
      </w:r>
      <w:r w:rsidR="00277C2D">
        <w:rPr>
          <w:rFonts w:ascii="Times New Roman" w:hAnsi="Times New Roman" w:cs="Times New Roman"/>
        </w:rPr>
        <w:t xml:space="preserve"> En</w:t>
      </w:r>
      <w:r w:rsidR="00F73BDF" w:rsidRPr="003A73DE">
        <w:rPr>
          <w:rFonts w:ascii="Times New Roman" w:hAnsi="Times New Roman" w:cs="Times New Roman"/>
        </w:rPr>
        <w:t xml:space="preserve"> porcentajes respecto al total de ocupados</w:t>
      </w:r>
      <w:r w:rsidR="002F6FD2">
        <w:rPr>
          <w:rFonts w:ascii="Times New Roman" w:hAnsi="Times New Roman" w:cs="Times New Roman"/>
          <w:sz w:val="18"/>
        </w:rPr>
        <w:t xml:space="preserve">. </w:t>
      </w:r>
      <w:r w:rsidR="006155AA">
        <w:rPr>
          <w:noProof/>
          <w:lang w:val="es-ES" w:eastAsia="es-ES"/>
        </w:rPr>
        <w:drawing>
          <wp:inline distT="0" distB="0" distL="0" distR="0" wp14:anchorId="4DC00E4A" wp14:editId="0A6FF306">
            <wp:extent cx="5585460" cy="3230880"/>
            <wp:effectExtent l="0" t="0" r="15240" b="7620"/>
            <wp:docPr id="2" name="Gráfico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15="http://schemas.microsoft.com/office/word/2012/wordml"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2F6FD2">
        <w:rPr>
          <w:rFonts w:ascii="Times New Roman" w:hAnsi="Times New Roman" w:cs="Times New Roman"/>
          <w:sz w:val="18"/>
        </w:rPr>
        <w:br/>
      </w:r>
      <w:r w:rsidR="008A1D85" w:rsidRPr="008A1D85">
        <w:rPr>
          <w:rFonts w:ascii="Times New Roman" w:hAnsi="Times New Roman" w:cs="Times New Roman"/>
          <w:sz w:val="18"/>
        </w:rPr>
        <w:t xml:space="preserve">Fuente: </w:t>
      </w:r>
      <w:r w:rsidR="00F52F59" w:rsidRPr="008A1D85">
        <w:rPr>
          <w:rFonts w:ascii="Times New Roman" w:hAnsi="Times New Roman" w:cs="Times New Roman"/>
          <w:sz w:val="18"/>
        </w:rPr>
        <w:t>Elaboración propia con base en la información procesada por el Programa Cambio Estructural y Desigualdad Social, IIGG-FCS-UBA a partir de la EPH, INDEC (Octubre de 1992, 1994, 1998, 2001 y cuartos trim</w:t>
      </w:r>
      <w:r w:rsidR="00B10201">
        <w:rPr>
          <w:rFonts w:ascii="Times New Roman" w:hAnsi="Times New Roman" w:cs="Times New Roman"/>
          <w:sz w:val="18"/>
        </w:rPr>
        <w:t>estres de 2003, 2004, 2007</w:t>
      </w:r>
      <w:r w:rsidR="00F52F59" w:rsidRPr="008A1D85">
        <w:rPr>
          <w:rFonts w:ascii="Times New Roman" w:hAnsi="Times New Roman" w:cs="Times New Roman"/>
          <w:sz w:val="18"/>
        </w:rPr>
        <w:t>, 2012 y 2014).</w:t>
      </w:r>
    </w:p>
    <w:p w:rsidR="00F73BDF" w:rsidRDefault="00540EA1" w:rsidP="008C4038">
      <w:pPr>
        <w:pStyle w:val="Default"/>
        <w:spacing w:line="360" w:lineRule="auto"/>
        <w:ind w:firstLine="340"/>
        <w:jc w:val="both"/>
        <w:rPr>
          <w:rFonts w:ascii="Times New Roman" w:hAnsi="Times New Roman" w:cs="Times New Roman"/>
        </w:rPr>
      </w:pPr>
      <w:r>
        <w:rPr>
          <w:rFonts w:ascii="Times New Roman" w:hAnsi="Times New Roman" w:cs="Times New Roman"/>
        </w:rPr>
        <w:t>Más de la mitad de</w:t>
      </w:r>
      <w:r w:rsidR="00F73BDF">
        <w:rPr>
          <w:rFonts w:ascii="Times New Roman" w:hAnsi="Times New Roman" w:cs="Times New Roman"/>
        </w:rPr>
        <w:t xml:space="preserve"> los trabajadores jóvenes residentes en el </w:t>
      </w:r>
      <w:r w:rsidR="005316BB">
        <w:rPr>
          <w:rFonts w:ascii="Times New Roman" w:hAnsi="Times New Roman" w:cs="Times New Roman"/>
        </w:rPr>
        <w:t>GBA</w:t>
      </w:r>
      <w:r w:rsidR="00F73BDF">
        <w:rPr>
          <w:rFonts w:ascii="Times New Roman" w:hAnsi="Times New Roman" w:cs="Times New Roman"/>
        </w:rPr>
        <w:t xml:space="preserve"> se encuentran insertos en el sector formal, superando el 50% de los casos </w:t>
      </w:r>
      <w:r w:rsidR="000C0411">
        <w:rPr>
          <w:rFonts w:ascii="Times New Roman" w:hAnsi="Times New Roman" w:cs="Times New Roman"/>
        </w:rPr>
        <w:t>en todos los años del periodo del régimen neoliberal de la convertibilidad</w:t>
      </w:r>
      <w:r w:rsidR="00F73BDF">
        <w:rPr>
          <w:rFonts w:ascii="Times New Roman" w:hAnsi="Times New Roman" w:cs="Times New Roman"/>
        </w:rPr>
        <w:t>. No obstante, el sector micro informal ronda el 40% de los casos en todos los años, alcanzando su pico más alto en el año 2003 inmediatament</w:t>
      </w:r>
      <w:r w:rsidR="005316BB">
        <w:rPr>
          <w:rFonts w:ascii="Times New Roman" w:hAnsi="Times New Roman" w:cs="Times New Roman"/>
        </w:rPr>
        <w:t>e posterior a la crisis con 46,8</w:t>
      </w:r>
      <w:r w:rsidR="00F73BDF">
        <w:rPr>
          <w:rFonts w:ascii="Times New Roman" w:hAnsi="Times New Roman" w:cs="Times New Roman"/>
        </w:rPr>
        <w:t>% de los casos. Se puede destacar que el sector formal sufre un descenso muy importante luego de la crisis de 2001, con una diferenci</w:t>
      </w:r>
      <w:r w:rsidR="002377C4">
        <w:rPr>
          <w:rFonts w:ascii="Times New Roman" w:hAnsi="Times New Roman" w:cs="Times New Roman"/>
        </w:rPr>
        <w:t xml:space="preserve">a porcentual de </w:t>
      </w:r>
      <w:r w:rsidR="005316BB">
        <w:rPr>
          <w:rFonts w:ascii="Times New Roman" w:hAnsi="Times New Roman" w:cs="Times New Roman"/>
        </w:rPr>
        <w:t xml:space="preserve">más de </w:t>
      </w:r>
      <w:r w:rsidR="00F73BDF">
        <w:rPr>
          <w:rFonts w:ascii="Times New Roman" w:hAnsi="Times New Roman" w:cs="Times New Roman"/>
        </w:rPr>
        <w:t>10 puntos</w:t>
      </w:r>
      <w:r w:rsidR="005316BB">
        <w:rPr>
          <w:rFonts w:ascii="Times New Roman" w:hAnsi="Times New Roman" w:cs="Times New Roman"/>
        </w:rPr>
        <w:t xml:space="preserve"> porcentuales</w:t>
      </w:r>
      <w:r w:rsidR="00F73BDF">
        <w:rPr>
          <w:rFonts w:ascii="Times New Roman" w:hAnsi="Times New Roman" w:cs="Times New Roman"/>
        </w:rPr>
        <w:t xml:space="preserve"> </w:t>
      </w:r>
      <w:r>
        <w:rPr>
          <w:rFonts w:ascii="Times New Roman" w:hAnsi="Times New Roman" w:cs="Times New Roman"/>
        </w:rPr>
        <w:t>entre 1998 y 2003</w:t>
      </w:r>
      <w:r w:rsidR="00F73BDF">
        <w:rPr>
          <w:rFonts w:ascii="Times New Roman" w:hAnsi="Times New Roman" w:cs="Times New Roman"/>
        </w:rPr>
        <w:t xml:space="preserve">, del cual parece comenzar a recuperarse </w:t>
      </w:r>
      <w:r w:rsidR="004E1C50">
        <w:rPr>
          <w:rFonts w:ascii="Times New Roman" w:hAnsi="Times New Roman" w:cs="Times New Roman"/>
        </w:rPr>
        <w:t xml:space="preserve">aunque </w:t>
      </w:r>
      <w:r w:rsidR="00F73BDF">
        <w:rPr>
          <w:rFonts w:ascii="Times New Roman" w:hAnsi="Times New Roman" w:cs="Times New Roman"/>
        </w:rPr>
        <w:t xml:space="preserve">sin lograr el crecimiento sostenido en el tiempo. </w:t>
      </w:r>
      <w:r w:rsidR="00A123DE">
        <w:rPr>
          <w:rFonts w:ascii="Times New Roman" w:hAnsi="Times New Roman" w:cs="Times New Roman"/>
        </w:rPr>
        <w:t xml:space="preserve"> </w:t>
      </w:r>
      <w:r>
        <w:rPr>
          <w:rFonts w:ascii="Times New Roman" w:hAnsi="Times New Roman" w:cs="Times New Roman"/>
        </w:rPr>
        <w:t>Algo similar ocurre</w:t>
      </w:r>
      <w:r w:rsidR="00A123DE">
        <w:rPr>
          <w:rFonts w:ascii="Times New Roman" w:hAnsi="Times New Roman" w:cs="Times New Roman"/>
        </w:rPr>
        <w:t xml:space="preserve"> en el sector público, h</w:t>
      </w:r>
      <w:r w:rsidR="00F73BDF">
        <w:rPr>
          <w:rFonts w:ascii="Times New Roman" w:hAnsi="Times New Roman" w:cs="Times New Roman"/>
        </w:rPr>
        <w:t>acia el</w:t>
      </w:r>
      <w:r>
        <w:rPr>
          <w:rFonts w:ascii="Times New Roman" w:hAnsi="Times New Roman" w:cs="Times New Roman"/>
        </w:rPr>
        <w:t xml:space="preserve"> comienzo de la convertibilidad</w:t>
      </w:r>
      <w:r w:rsidR="00F73BDF">
        <w:rPr>
          <w:rFonts w:ascii="Times New Roman" w:hAnsi="Times New Roman" w:cs="Times New Roman"/>
        </w:rPr>
        <w:t xml:space="preserve"> </w:t>
      </w:r>
      <w:r w:rsidR="005316BB">
        <w:rPr>
          <w:rFonts w:ascii="Times New Roman" w:hAnsi="Times New Roman" w:cs="Times New Roman"/>
        </w:rPr>
        <w:t>10,9</w:t>
      </w:r>
      <w:r w:rsidR="00F73BDF">
        <w:rPr>
          <w:rFonts w:ascii="Times New Roman" w:hAnsi="Times New Roman" w:cs="Times New Roman"/>
        </w:rPr>
        <w:t>% de los jóvenes se encontraba</w:t>
      </w:r>
      <w:r w:rsidR="00A123DE">
        <w:rPr>
          <w:rFonts w:ascii="Times New Roman" w:hAnsi="Times New Roman" w:cs="Times New Roman"/>
        </w:rPr>
        <w:t>n empleados allí</w:t>
      </w:r>
      <w:r w:rsidR="00F73BDF">
        <w:rPr>
          <w:rFonts w:ascii="Times New Roman" w:hAnsi="Times New Roman" w:cs="Times New Roman"/>
        </w:rPr>
        <w:t>, disminuyen</w:t>
      </w:r>
      <w:r w:rsidR="004F732C">
        <w:rPr>
          <w:rFonts w:ascii="Times New Roman" w:hAnsi="Times New Roman" w:cs="Times New Roman"/>
        </w:rPr>
        <w:t>do a un 8,</w:t>
      </w:r>
      <w:r w:rsidR="008755BA">
        <w:rPr>
          <w:rFonts w:ascii="Times New Roman" w:hAnsi="Times New Roman" w:cs="Times New Roman"/>
        </w:rPr>
        <w:t>4</w:t>
      </w:r>
      <w:r w:rsidR="004F732C">
        <w:rPr>
          <w:rFonts w:ascii="Times New Roman" w:hAnsi="Times New Roman" w:cs="Times New Roman"/>
        </w:rPr>
        <w:t xml:space="preserve">% hacia el año 1998, aunque en el periodo de la </w:t>
      </w:r>
      <w:r w:rsidR="000C0411">
        <w:rPr>
          <w:rFonts w:ascii="Times New Roman" w:hAnsi="Times New Roman" w:cs="Times New Roman"/>
        </w:rPr>
        <w:t>post-convertibilidad</w:t>
      </w:r>
      <w:r w:rsidR="004F732C">
        <w:rPr>
          <w:rFonts w:ascii="Times New Roman" w:hAnsi="Times New Roman" w:cs="Times New Roman"/>
        </w:rPr>
        <w:t xml:space="preserve"> alcanza un pico del 10</w:t>
      </w:r>
      <w:r w:rsidR="005316BB">
        <w:rPr>
          <w:rFonts w:ascii="Times New Roman" w:hAnsi="Times New Roman" w:cs="Times New Roman"/>
        </w:rPr>
        <w:t>,1</w:t>
      </w:r>
      <w:r w:rsidR="00A67CB1">
        <w:rPr>
          <w:rFonts w:ascii="Times New Roman" w:hAnsi="Times New Roman" w:cs="Times New Roman"/>
        </w:rPr>
        <w:t>%</w:t>
      </w:r>
      <w:r w:rsidR="004F732C">
        <w:rPr>
          <w:rFonts w:ascii="Times New Roman" w:hAnsi="Times New Roman" w:cs="Times New Roman"/>
        </w:rPr>
        <w:t xml:space="preserve"> en el año 2012. </w:t>
      </w:r>
    </w:p>
    <w:p w:rsidR="0034287A" w:rsidRDefault="00AD3BB5" w:rsidP="008C4038">
      <w:pPr>
        <w:pStyle w:val="Default"/>
        <w:spacing w:line="360" w:lineRule="auto"/>
        <w:ind w:firstLine="340"/>
        <w:jc w:val="both"/>
        <w:rPr>
          <w:rFonts w:ascii="Times New Roman" w:hAnsi="Times New Roman" w:cs="Times New Roman"/>
        </w:rPr>
      </w:pPr>
      <w:r>
        <w:rPr>
          <w:rFonts w:ascii="Times New Roman" w:hAnsi="Times New Roman" w:cs="Times New Roman"/>
        </w:rPr>
        <w:t>Respecto a los bajos porcentajes en la participación en el sector público de asistencia</w:t>
      </w:r>
      <w:r w:rsidR="004F732C">
        <w:rPr>
          <w:rFonts w:ascii="Times New Roman" w:hAnsi="Times New Roman" w:cs="Times New Roman"/>
        </w:rPr>
        <w:t>, e</w:t>
      </w:r>
      <w:r w:rsidR="00B67155">
        <w:rPr>
          <w:rFonts w:ascii="Times New Roman" w:hAnsi="Times New Roman" w:cs="Times New Roman"/>
        </w:rPr>
        <w:t xml:space="preserve">s importante destacar que el diseño de políticas activas dirigidas específicamente a la problemática del grupo de jóvenes </w:t>
      </w:r>
      <w:r w:rsidR="006873CF">
        <w:rPr>
          <w:rFonts w:ascii="Times New Roman" w:hAnsi="Times New Roman" w:cs="Times New Roman"/>
        </w:rPr>
        <w:t xml:space="preserve">es de reciente data, con programas como </w:t>
      </w:r>
      <w:r w:rsidR="006873CF" w:rsidRPr="00855808">
        <w:rPr>
          <w:rFonts w:ascii="Times New Roman" w:hAnsi="Times New Roman" w:cs="Times New Roman"/>
          <w:i/>
        </w:rPr>
        <w:t>Jóvenes con Más y Mejor Trabajo</w:t>
      </w:r>
      <w:r w:rsidR="006873CF" w:rsidRPr="006873CF">
        <w:rPr>
          <w:rFonts w:ascii="Times New Roman" w:hAnsi="Times New Roman" w:cs="Times New Roman"/>
        </w:rPr>
        <w:t xml:space="preserve"> (</w:t>
      </w:r>
      <w:proofErr w:type="spellStart"/>
      <w:r w:rsidR="006873CF" w:rsidRPr="006873CF">
        <w:rPr>
          <w:rFonts w:ascii="Times New Roman" w:hAnsi="Times New Roman" w:cs="Times New Roman"/>
        </w:rPr>
        <w:t>PJMyMT</w:t>
      </w:r>
      <w:proofErr w:type="spellEnd"/>
      <w:r w:rsidR="006873CF" w:rsidRPr="006873CF">
        <w:rPr>
          <w:rFonts w:ascii="Times New Roman" w:hAnsi="Times New Roman" w:cs="Times New Roman"/>
        </w:rPr>
        <w:t>)</w:t>
      </w:r>
      <w:r w:rsidR="006873CF">
        <w:rPr>
          <w:rFonts w:ascii="Times New Roman" w:hAnsi="Times New Roman" w:cs="Times New Roman"/>
        </w:rPr>
        <w:t xml:space="preserve"> implementado en el año 2008 por el </w:t>
      </w:r>
      <w:r w:rsidR="006873CF" w:rsidRPr="006873CF">
        <w:rPr>
          <w:rFonts w:ascii="Times New Roman" w:hAnsi="Times New Roman" w:cs="Times New Roman"/>
        </w:rPr>
        <w:t>Ministerio de Trabajo, Empleo y Segurida</w:t>
      </w:r>
      <w:r w:rsidR="00F368E8">
        <w:rPr>
          <w:rFonts w:ascii="Times New Roman" w:hAnsi="Times New Roman" w:cs="Times New Roman"/>
        </w:rPr>
        <w:t>d Social (</w:t>
      </w:r>
      <w:proofErr w:type="spellStart"/>
      <w:r w:rsidR="00F368E8">
        <w:rPr>
          <w:rFonts w:ascii="Times New Roman" w:hAnsi="Times New Roman" w:cs="Times New Roman"/>
        </w:rPr>
        <w:t>MTEySS</w:t>
      </w:r>
      <w:proofErr w:type="spellEnd"/>
      <w:r w:rsidR="00F368E8">
        <w:rPr>
          <w:rFonts w:ascii="Times New Roman" w:hAnsi="Times New Roman" w:cs="Times New Roman"/>
        </w:rPr>
        <w:t xml:space="preserve">), y </w:t>
      </w:r>
      <w:r w:rsidR="006873CF">
        <w:rPr>
          <w:rFonts w:ascii="Times New Roman" w:hAnsi="Times New Roman" w:cs="Times New Roman"/>
        </w:rPr>
        <w:t xml:space="preserve">el </w:t>
      </w:r>
      <w:r w:rsidR="006873CF" w:rsidRPr="00855808">
        <w:rPr>
          <w:rFonts w:ascii="Times New Roman" w:hAnsi="Times New Roman" w:cs="Times New Roman"/>
          <w:i/>
        </w:rPr>
        <w:t>Programa de Respaldo a Estudiantes de Argentina</w:t>
      </w:r>
      <w:r w:rsidR="006873CF">
        <w:rPr>
          <w:rFonts w:ascii="Times New Roman" w:hAnsi="Times New Roman" w:cs="Times New Roman"/>
        </w:rPr>
        <w:t xml:space="preserve"> (PROGRESAR) lanzado en 2014</w:t>
      </w:r>
      <w:r w:rsidR="001C0EB1">
        <w:rPr>
          <w:rFonts w:ascii="Times New Roman" w:hAnsi="Times New Roman" w:cs="Times New Roman"/>
        </w:rPr>
        <w:t xml:space="preserve"> por una articulación de organismos estatales presididos por el Ministerio de </w:t>
      </w:r>
      <w:r w:rsidR="001C0EB1">
        <w:rPr>
          <w:rFonts w:ascii="Times New Roman" w:hAnsi="Times New Roman" w:cs="Times New Roman"/>
        </w:rPr>
        <w:lastRenderedPageBreak/>
        <w:t xml:space="preserve">Economía y Finanzas Públicas de la </w:t>
      </w:r>
      <w:r w:rsidR="00583B1A">
        <w:rPr>
          <w:rFonts w:ascii="Times New Roman" w:hAnsi="Times New Roman" w:cs="Times New Roman"/>
        </w:rPr>
        <w:t>N</w:t>
      </w:r>
      <w:r w:rsidR="001C0EB1">
        <w:rPr>
          <w:rFonts w:ascii="Times New Roman" w:hAnsi="Times New Roman" w:cs="Times New Roman"/>
        </w:rPr>
        <w:t>ación</w:t>
      </w:r>
      <w:r w:rsidR="000C0411">
        <w:rPr>
          <w:rStyle w:val="Refdenotaalpie"/>
          <w:rFonts w:ascii="Times New Roman" w:hAnsi="Times New Roman" w:cs="Times New Roman"/>
        </w:rPr>
        <w:footnoteReference w:id="12"/>
      </w:r>
      <w:r>
        <w:rPr>
          <w:rFonts w:ascii="Times New Roman" w:hAnsi="Times New Roman" w:cs="Times New Roman"/>
        </w:rPr>
        <w:t>, sin poder aún considerar sus impactos en la población en el presente análisis</w:t>
      </w:r>
      <w:r w:rsidR="00F368E8">
        <w:rPr>
          <w:rFonts w:ascii="Times New Roman" w:hAnsi="Times New Roman" w:cs="Times New Roman"/>
        </w:rPr>
        <w:t xml:space="preserve">. No obstante, </w:t>
      </w:r>
      <w:r w:rsidR="00A67CB1">
        <w:rPr>
          <w:rFonts w:ascii="Times New Roman" w:hAnsi="Times New Roman" w:cs="Times New Roman"/>
        </w:rPr>
        <w:t>podemos analizar el 7</w:t>
      </w:r>
      <w:r w:rsidR="00890DF7">
        <w:rPr>
          <w:rFonts w:ascii="Times New Roman" w:hAnsi="Times New Roman" w:cs="Times New Roman"/>
        </w:rPr>
        <w:t>% en la participación de los jóvenes en</w:t>
      </w:r>
      <w:r>
        <w:rPr>
          <w:rFonts w:ascii="Times New Roman" w:hAnsi="Times New Roman" w:cs="Times New Roman"/>
        </w:rPr>
        <w:t xml:space="preserve"> dicho sector</w:t>
      </w:r>
      <w:r w:rsidR="00890DF7">
        <w:rPr>
          <w:rFonts w:ascii="Times New Roman" w:hAnsi="Times New Roman" w:cs="Times New Roman"/>
        </w:rPr>
        <w:t xml:space="preserve"> para el año 2003</w:t>
      </w:r>
      <w:r w:rsidR="009E757A">
        <w:rPr>
          <w:rFonts w:ascii="Times New Roman" w:hAnsi="Times New Roman" w:cs="Times New Roman"/>
        </w:rPr>
        <w:t xml:space="preserve">, </w:t>
      </w:r>
      <w:r w:rsidR="00890DF7">
        <w:rPr>
          <w:rFonts w:ascii="Times New Roman" w:hAnsi="Times New Roman" w:cs="Times New Roman"/>
        </w:rPr>
        <w:t xml:space="preserve">principalmente con la intervención masiva de alta cobertura tras la crisis de 2001 que se dio en llamar </w:t>
      </w:r>
      <w:r w:rsidR="00890DF7" w:rsidRPr="00855808">
        <w:rPr>
          <w:rFonts w:ascii="Times New Roman" w:hAnsi="Times New Roman" w:cs="Times New Roman"/>
          <w:i/>
        </w:rPr>
        <w:t>Plan Jefas y Jefes de Hogar Desempleados</w:t>
      </w:r>
      <w:r w:rsidR="00540EA1">
        <w:rPr>
          <w:rFonts w:ascii="Times New Roman" w:hAnsi="Times New Roman" w:cs="Times New Roman"/>
        </w:rPr>
        <w:t xml:space="preserve"> (</w:t>
      </w:r>
      <w:proofErr w:type="spellStart"/>
      <w:r w:rsidR="00540EA1">
        <w:rPr>
          <w:rFonts w:ascii="Times New Roman" w:hAnsi="Times New Roman" w:cs="Times New Roman"/>
        </w:rPr>
        <w:t>PJyJHD</w:t>
      </w:r>
      <w:proofErr w:type="spellEnd"/>
      <w:r w:rsidR="00540EA1">
        <w:rPr>
          <w:rFonts w:ascii="Times New Roman" w:hAnsi="Times New Roman" w:cs="Times New Roman"/>
        </w:rPr>
        <w:t>). El objetivo de dicho programa</w:t>
      </w:r>
      <w:r w:rsidR="00890DF7" w:rsidRPr="00F368E8">
        <w:rPr>
          <w:rFonts w:ascii="Times New Roman" w:hAnsi="Times New Roman" w:cs="Times New Roman"/>
        </w:rPr>
        <w:t xml:space="preserve"> era aliviar el efecto que tenía el</w:t>
      </w:r>
      <w:r w:rsidR="00890DF7">
        <w:rPr>
          <w:rFonts w:ascii="Times New Roman" w:hAnsi="Times New Roman" w:cs="Times New Roman"/>
        </w:rPr>
        <w:t xml:space="preserve"> </w:t>
      </w:r>
      <w:r w:rsidR="00890DF7" w:rsidRPr="00F368E8">
        <w:rPr>
          <w:rFonts w:ascii="Times New Roman" w:hAnsi="Times New Roman" w:cs="Times New Roman"/>
        </w:rPr>
        <w:t>desempleo sobre la</w:t>
      </w:r>
      <w:r w:rsidR="00890DF7">
        <w:rPr>
          <w:rFonts w:ascii="Times New Roman" w:hAnsi="Times New Roman" w:cs="Times New Roman"/>
        </w:rPr>
        <w:t>s</w:t>
      </w:r>
      <w:r w:rsidR="00890DF7" w:rsidRPr="00F368E8">
        <w:rPr>
          <w:rFonts w:ascii="Times New Roman" w:hAnsi="Times New Roman" w:cs="Times New Roman"/>
        </w:rPr>
        <w:t xml:space="preserve"> cond</w:t>
      </w:r>
      <w:r w:rsidR="00890DF7">
        <w:rPr>
          <w:rFonts w:ascii="Times New Roman" w:hAnsi="Times New Roman" w:cs="Times New Roman"/>
        </w:rPr>
        <w:t>i</w:t>
      </w:r>
      <w:r w:rsidR="00583B1A">
        <w:rPr>
          <w:rFonts w:ascii="Times New Roman" w:hAnsi="Times New Roman" w:cs="Times New Roman"/>
        </w:rPr>
        <w:t>ciones de vida de las personas,</w:t>
      </w:r>
      <w:r w:rsidR="00890DF7">
        <w:rPr>
          <w:rFonts w:ascii="Times New Roman" w:hAnsi="Times New Roman" w:cs="Times New Roman"/>
        </w:rPr>
        <w:t xml:space="preserve"> incorpora</w:t>
      </w:r>
      <w:r w:rsidR="00583B1A">
        <w:rPr>
          <w:rFonts w:ascii="Times New Roman" w:hAnsi="Times New Roman" w:cs="Times New Roman"/>
        </w:rPr>
        <w:t>ndo</w:t>
      </w:r>
      <w:r w:rsidR="00890DF7">
        <w:rPr>
          <w:rFonts w:ascii="Times New Roman" w:hAnsi="Times New Roman" w:cs="Times New Roman"/>
        </w:rPr>
        <w:t xml:space="preserve"> precisamente a jefas y jefes de hogar desempleados mayores de 18 años</w:t>
      </w:r>
      <w:r w:rsidR="00890DF7">
        <w:rPr>
          <w:rStyle w:val="Refdenotaalpie"/>
          <w:rFonts w:ascii="Times New Roman" w:hAnsi="Times New Roman" w:cs="Times New Roman"/>
        </w:rPr>
        <w:footnoteReference w:id="13"/>
      </w:r>
      <w:r w:rsidR="00890DF7">
        <w:rPr>
          <w:rFonts w:ascii="Times New Roman" w:hAnsi="Times New Roman" w:cs="Times New Roman"/>
        </w:rPr>
        <w:t xml:space="preserve">. </w:t>
      </w:r>
    </w:p>
    <w:p w:rsidR="00092008" w:rsidRDefault="00D318AF" w:rsidP="008C4038">
      <w:pPr>
        <w:pStyle w:val="Default"/>
        <w:spacing w:line="360" w:lineRule="auto"/>
        <w:ind w:firstLine="340"/>
        <w:jc w:val="both"/>
        <w:rPr>
          <w:rFonts w:ascii="Times New Roman" w:hAnsi="Times New Roman" w:cs="Times New Roman"/>
        </w:rPr>
      </w:pPr>
      <w:r>
        <w:rPr>
          <w:rFonts w:ascii="Times New Roman" w:hAnsi="Times New Roman" w:cs="Times New Roman"/>
        </w:rPr>
        <w:t xml:space="preserve">Tal como se expone en el gráfico n° </w:t>
      </w:r>
      <w:r w:rsidR="0054053B">
        <w:rPr>
          <w:rFonts w:ascii="Times New Roman" w:hAnsi="Times New Roman" w:cs="Times New Roman"/>
        </w:rPr>
        <w:t>4</w:t>
      </w:r>
      <w:r>
        <w:rPr>
          <w:rFonts w:ascii="Times New Roman" w:hAnsi="Times New Roman" w:cs="Times New Roman"/>
        </w:rPr>
        <w:t xml:space="preserve">, en </w:t>
      </w:r>
      <w:r w:rsidR="00F73BDF">
        <w:rPr>
          <w:rFonts w:ascii="Times New Roman" w:hAnsi="Times New Roman" w:cs="Times New Roman"/>
        </w:rPr>
        <w:t>la participación por sector según categorías ocupacionales</w:t>
      </w:r>
      <w:r w:rsidR="00092008">
        <w:rPr>
          <w:rFonts w:ascii="Times New Roman" w:hAnsi="Times New Roman" w:cs="Times New Roman"/>
        </w:rPr>
        <w:t xml:space="preserve"> para el</w:t>
      </w:r>
      <w:r w:rsidR="00A123DE">
        <w:rPr>
          <w:rFonts w:ascii="Times New Roman" w:hAnsi="Times New Roman" w:cs="Times New Roman"/>
        </w:rPr>
        <w:t xml:space="preserve"> caso del sector formal</w:t>
      </w:r>
      <w:r w:rsidR="000C66EE">
        <w:rPr>
          <w:rFonts w:ascii="Times New Roman" w:hAnsi="Times New Roman" w:cs="Times New Roman"/>
        </w:rPr>
        <w:t xml:space="preserve"> privado y público</w:t>
      </w:r>
      <w:r w:rsidR="007A646F">
        <w:rPr>
          <w:rFonts w:ascii="Times New Roman" w:hAnsi="Times New Roman" w:cs="Times New Roman"/>
        </w:rPr>
        <w:t>,</w:t>
      </w:r>
      <w:r w:rsidR="00A123DE">
        <w:rPr>
          <w:rFonts w:ascii="Times New Roman" w:hAnsi="Times New Roman" w:cs="Times New Roman"/>
        </w:rPr>
        <w:t xml:space="preserve"> </w:t>
      </w:r>
      <w:r w:rsidR="00092008">
        <w:rPr>
          <w:rFonts w:ascii="Times New Roman" w:hAnsi="Times New Roman" w:cs="Times New Roman"/>
        </w:rPr>
        <w:t>predomina el porcentaje de asalariados frente a los trabajad</w:t>
      </w:r>
      <w:r w:rsidR="00744096">
        <w:rPr>
          <w:rFonts w:ascii="Times New Roman" w:hAnsi="Times New Roman" w:cs="Times New Roman"/>
        </w:rPr>
        <w:t>ores independientes</w:t>
      </w:r>
      <w:r w:rsidR="001C0EB1">
        <w:rPr>
          <w:rFonts w:ascii="Times New Roman" w:hAnsi="Times New Roman" w:cs="Times New Roman"/>
        </w:rPr>
        <w:t xml:space="preserve"> en todos los años tomados en cuenta para en análisis</w:t>
      </w:r>
      <w:r w:rsidR="00744096">
        <w:rPr>
          <w:rFonts w:ascii="Times New Roman" w:hAnsi="Times New Roman" w:cs="Times New Roman"/>
        </w:rPr>
        <w:t>. Este comportamiento es</w:t>
      </w:r>
      <w:r w:rsidR="00A123DE">
        <w:rPr>
          <w:rFonts w:ascii="Times New Roman" w:hAnsi="Times New Roman" w:cs="Times New Roman"/>
        </w:rPr>
        <w:t xml:space="preserve"> de esperar en una población joven de corta trayectoria laboral</w:t>
      </w:r>
      <w:r>
        <w:rPr>
          <w:rFonts w:ascii="Times New Roman" w:hAnsi="Times New Roman" w:cs="Times New Roman"/>
        </w:rPr>
        <w:t xml:space="preserve">. Asimismo, esto </w:t>
      </w:r>
      <w:r w:rsidR="00092008">
        <w:rPr>
          <w:rFonts w:ascii="Times New Roman" w:hAnsi="Times New Roman" w:cs="Times New Roman"/>
        </w:rPr>
        <w:t xml:space="preserve">podría estar relacionado </w:t>
      </w:r>
      <w:r w:rsidR="00744096">
        <w:rPr>
          <w:rFonts w:ascii="Times New Roman" w:hAnsi="Times New Roman" w:cs="Times New Roman"/>
        </w:rPr>
        <w:t xml:space="preserve">a </w:t>
      </w:r>
      <w:r>
        <w:rPr>
          <w:rFonts w:ascii="Times New Roman" w:hAnsi="Times New Roman" w:cs="Times New Roman"/>
        </w:rPr>
        <w:t>las restricciones que enfrenta este grupo</w:t>
      </w:r>
      <w:r w:rsidR="00744096">
        <w:rPr>
          <w:rFonts w:ascii="Times New Roman" w:hAnsi="Times New Roman" w:cs="Times New Roman"/>
        </w:rPr>
        <w:t xml:space="preserve"> en </w:t>
      </w:r>
      <w:r w:rsidR="00092008">
        <w:rPr>
          <w:rFonts w:ascii="Times New Roman" w:hAnsi="Times New Roman" w:cs="Times New Roman"/>
        </w:rPr>
        <w:t>la obtención de créditos necesarios para emprender alguna actividad de forma independiente.</w:t>
      </w:r>
    </w:p>
    <w:p w:rsidR="008C4038" w:rsidRDefault="00744096" w:rsidP="008C4038">
      <w:pPr>
        <w:tabs>
          <w:tab w:val="left" w:pos="2955"/>
        </w:tabs>
        <w:spacing w:line="360" w:lineRule="auto"/>
        <w:jc w:val="both"/>
        <w:rPr>
          <w:rFonts w:ascii="Times New Roman" w:hAnsi="Times New Roman" w:cs="Times New Roman"/>
          <w:sz w:val="24"/>
        </w:rPr>
      </w:pPr>
      <w:r w:rsidRPr="00744096">
        <w:rPr>
          <w:rFonts w:ascii="Times New Roman" w:hAnsi="Times New Roman" w:cs="Times New Roman"/>
          <w:sz w:val="24"/>
        </w:rPr>
        <w:t xml:space="preserve">Se puede ver además la caída del empleo asalariado registrado tras la crisis, y la recuperación alcanzando el </w:t>
      </w:r>
      <w:r w:rsidR="000F6D7C">
        <w:rPr>
          <w:rFonts w:ascii="Times New Roman" w:hAnsi="Times New Roman" w:cs="Times New Roman"/>
          <w:sz w:val="24"/>
        </w:rPr>
        <w:t>58,7% para el año 2012</w:t>
      </w:r>
      <w:r w:rsidRPr="00744096">
        <w:rPr>
          <w:rFonts w:ascii="Times New Roman" w:hAnsi="Times New Roman" w:cs="Times New Roman"/>
          <w:sz w:val="24"/>
        </w:rPr>
        <w:t>. Comparativamente, en el año 2010 el empleo asalariado registrado se había incrementado en un 50% respecto al año 2001,</w:t>
      </w:r>
      <w:r>
        <w:rPr>
          <w:rFonts w:ascii="Times New Roman" w:hAnsi="Times New Roman" w:cs="Times New Roman"/>
          <w:sz w:val="24"/>
        </w:rPr>
        <w:t xml:space="preserve"> que implicaba</w:t>
      </w:r>
      <w:r w:rsidRPr="00744096">
        <w:rPr>
          <w:rFonts w:ascii="Times New Roman" w:hAnsi="Times New Roman" w:cs="Times New Roman"/>
          <w:sz w:val="24"/>
        </w:rPr>
        <w:t xml:space="preserve"> la generación de tres millones de puestos de trabajo, siguiendo datos de CIFRA CTA (2011)</w:t>
      </w:r>
      <w:r>
        <w:rPr>
          <w:rFonts w:ascii="Times New Roman" w:hAnsi="Times New Roman" w:cs="Times New Roman"/>
          <w:sz w:val="24"/>
        </w:rPr>
        <w:t>.</w:t>
      </w:r>
    </w:p>
    <w:p w:rsidR="000C66EE" w:rsidRPr="008C4038" w:rsidRDefault="000C66EE" w:rsidP="008C4038">
      <w:pPr>
        <w:pStyle w:val="Default"/>
        <w:spacing w:line="360" w:lineRule="auto"/>
        <w:ind w:firstLine="340"/>
        <w:jc w:val="both"/>
        <w:rPr>
          <w:rFonts w:ascii="Times New Roman" w:hAnsi="Times New Roman" w:cs="Times New Roman"/>
        </w:rPr>
      </w:pPr>
      <w:r>
        <w:rPr>
          <w:rFonts w:ascii="Times New Roman" w:hAnsi="Times New Roman" w:cs="Times New Roman"/>
        </w:rPr>
        <w:t xml:space="preserve">Para el caso del sector micro informal podemos ver que también predomina el empleo asalariado, rondando el 20% para el periodo de la convertibilidad, y casi el 30% para el </w:t>
      </w:r>
      <w:r w:rsidRPr="009C3F06">
        <w:rPr>
          <w:rFonts w:ascii="Times New Roman" w:hAnsi="Times New Roman" w:cs="Times New Roman"/>
        </w:rPr>
        <w:t xml:space="preserve">caso de la post-convertibilidad. </w:t>
      </w:r>
      <w:r>
        <w:rPr>
          <w:rFonts w:ascii="Times New Roman" w:hAnsi="Times New Roman" w:cs="Times New Roman"/>
        </w:rPr>
        <w:t>Como se ha señalado para el sector formal</w:t>
      </w:r>
      <w:r w:rsidRPr="009C3F06">
        <w:rPr>
          <w:rFonts w:ascii="Times New Roman" w:hAnsi="Times New Roman" w:cs="Times New Roman"/>
        </w:rPr>
        <w:t xml:space="preserve">, hay una </w:t>
      </w:r>
      <w:r>
        <w:rPr>
          <w:rFonts w:ascii="Times New Roman" w:hAnsi="Times New Roman" w:cs="Times New Roman"/>
        </w:rPr>
        <w:t xml:space="preserve">menor </w:t>
      </w:r>
      <w:r w:rsidRPr="009C3F06">
        <w:rPr>
          <w:rFonts w:ascii="Times New Roman" w:hAnsi="Times New Roman" w:cs="Times New Roman"/>
        </w:rPr>
        <w:t xml:space="preserve">participación de los no asalariados, </w:t>
      </w:r>
      <w:r>
        <w:rPr>
          <w:rFonts w:ascii="Times New Roman" w:hAnsi="Times New Roman" w:cs="Times New Roman"/>
        </w:rPr>
        <w:t xml:space="preserve">aunque la diferencia en el sector informal entre asalariados y no asalariados es mucho menor sobre todo durante el periodo neoliberal. </w:t>
      </w:r>
    </w:p>
    <w:p w:rsidR="008C4038" w:rsidRDefault="008C4038" w:rsidP="008C4038">
      <w:pPr>
        <w:pStyle w:val="Default"/>
        <w:spacing w:line="360" w:lineRule="auto"/>
        <w:ind w:firstLine="340"/>
        <w:jc w:val="both"/>
        <w:rPr>
          <w:rFonts w:ascii="Times New Roman" w:hAnsi="Times New Roman" w:cs="Times New Roman"/>
        </w:rPr>
      </w:pPr>
    </w:p>
    <w:p w:rsidR="008C4038" w:rsidRDefault="008C4038" w:rsidP="008C4038">
      <w:pPr>
        <w:pStyle w:val="Default"/>
        <w:spacing w:line="360" w:lineRule="auto"/>
        <w:ind w:firstLine="340"/>
        <w:jc w:val="both"/>
        <w:rPr>
          <w:rFonts w:ascii="Times New Roman" w:hAnsi="Times New Roman" w:cs="Times New Roman"/>
        </w:rPr>
      </w:pPr>
    </w:p>
    <w:p w:rsidR="008C4038" w:rsidRDefault="008C4038" w:rsidP="008C4038">
      <w:pPr>
        <w:pStyle w:val="Default"/>
        <w:spacing w:line="360" w:lineRule="auto"/>
        <w:ind w:firstLine="340"/>
        <w:jc w:val="both"/>
        <w:rPr>
          <w:rFonts w:ascii="Times New Roman" w:hAnsi="Times New Roman" w:cs="Times New Roman"/>
        </w:rPr>
      </w:pPr>
    </w:p>
    <w:p w:rsidR="008C4038" w:rsidRDefault="008C4038" w:rsidP="008C4038">
      <w:pPr>
        <w:pStyle w:val="Default"/>
        <w:spacing w:line="360" w:lineRule="auto"/>
        <w:ind w:firstLine="340"/>
        <w:jc w:val="both"/>
        <w:rPr>
          <w:rFonts w:ascii="Times New Roman" w:hAnsi="Times New Roman" w:cs="Times New Roman"/>
        </w:rPr>
      </w:pPr>
    </w:p>
    <w:p w:rsidR="00E94832" w:rsidRPr="006459EB" w:rsidRDefault="007A646F" w:rsidP="00C704FF">
      <w:pPr>
        <w:tabs>
          <w:tab w:val="left" w:pos="2955"/>
        </w:tabs>
        <w:spacing w:line="240" w:lineRule="auto"/>
        <w:jc w:val="both"/>
        <w:rPr>
          <w:rFonts w:ascii="Times New Roman" w:hAnsi="Times New Roman" w:cs="Times New Roman"/>
        </w:rPr>
      </w:pPr>
      <w:r w:rsidRPr="00DA6B00">
        <w:rPr>
          <w:rFonts w:ascii="Times New Roman" w:hAnsi="Times New Roman" w:cs="Times New Roman"/>
        </w:rPr>
        <w:t xml:space="preserve">Grafico n° </w:t>
      </w:r>
      <w:r w:rsidR="0054053B">
        <w:rPr>
          <w:rFonts w:ascii="Times New Roman" w:hAnsi="Times New Roman" w:cs="Times New Roman"/>
        </w:rPr>
        <w:t>4</w:t>
      </w:r>
      <w:r w:rsidRPr="00DA6B00">
        <w:rPr>
          <w:rFonts w:ascii="Times New Roman" w:hAnsi="Times New Roman" w:cs="Times New Roman"/>
        </w:rPr>
        <w:t xml:space="preserve">: Participación del </w:t>
      </w:r>
      <w:r w:rsidR="000C2604">
        <w:rPr>
          <w:rFonts w:ascii="Times New Roman" w:hAnsi="Times New Roman" w:cs="Times New Roman"/>
        </w:rPr>
        <w:t xml:space="preserve">sector </w:t>
      </w:r>
      <w:r w:rsidR="00A6639C" w:rsidRPr="00DA6B00">
        <w:rPr>
          <w:rFonts w:ascii="Times New Roman" w:hAnsi="Times New Roman" w:cs="Times New Roman"/>
        </w:rPr>
        <w:t xml:space="preserve">formal y </w:t>
      </w:r>
      <w:r w:rsidRPr="00DA6B00">
        <w:rPr>
          <w:rFonts w:ascii="Times New Roman" w:hAnsi="Times New Roman" w:cs="Times New Roman"/>
        </w:rPr>
        <w:t xml:space="preserve">micro informal en el total del empleo según categorías ocupacionales. Jóvenes entre 18 y 29 años. </w:t>
      </w:r>
      <w:r w:rsidR="005316BB">
        <w:rPr>
          <w:rFonts w:ascii="Times New Roman" w:hAnsi="Times New Roman" w:cs="Times New Roman"/>
        </w:rPr>
        <w:t>GBA</w:t>
      </w:r>
      <w:r w:rsidRPr="00DA6B00">
        <w:rPr>
          <w:rFonts w:ascii="Times New Roman" w:hAnsi="Times New Roman" w:cs="Times New Roman"/>
        </w:rPr>
        <w:t xml:space="preserve"> 1992-2014. En porcentajes respecto</w:t>
      </w:r>
      <w:r w:rsidR="00A6639C" w:rsidRPr="00DA6B00">
        <w:rPr>
          <w:rFonts w:ascii="Times New Roman" w:hAnsi="Times New Roman" w:cs="Times New Roman"/>
        </w:rPr>
        <w:t xml:space="preserve"> al total de ocupados.</w:t>
      </w:r>
      <w:r w:rsidR="00C704FF" w:rsidRPr="00C704FF">
        <w:rPr>
          <w:rStyle w:val="Refdenotaalpie"/>
          <w:rFonts w:ascii="Times New Roman" w:hAnsi="Times New Roman" w:cs="Times New Roman"/>
        </w:rPr>
        <w:t xml:space="preserve"> </w:t>
      </w:r>
      <w:r w:rsidR="00F3113B">
        <w:rPr>
          <w:noProof/>
          <w:lang w:val="es-ES" w:eastAsia="es-ES"/>
        </w:rPr>
        <w:drawing>
          <wp:inline distT="0" distB="0" distL="0" distR="0" wp14:anchorId="54FE08BA" wp14:editId="5DDBA776">
            <wp:extent cx="5570220" cy="3337560"/>
            <wp:effectExtent l="0" t="0" r="11430" b="15240"/>
            <wp:docPr id="1" name="Gráfico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15="http://schemas.microsoft.com/office/word/2012/wordml"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CA25A3">
        <w:rPr>
          <w:rFonts w:ascii="Times New Roman" w:hAnsi="Times New Roman" w:cs="Times New Roman"/>
        </w:rPr>
        <w:br/>
      </w:r>
      <w:r w:rsidR="00F953EE">
        <w:rPr>
          <w:rFonts w:ascii="Times New Roman" w:hAnsi="Times New Roman" w:cs="Times New Roman"/>
          <w:sz w:val="18"/>
        </w:rPr>
        <w:t>Fuente: Elaboración propia con base en la información procesada por el Programa Cambio Estructural y Desigualdad Social, IIGG-FCS-UBA a partir de la EPH, INDEC (Octubre de 1992, 1994, 1998, 2001 y cuartos trimestres de 2003, 2004, 2007, 2012 y 2014)</w:t>
      </w:r>
      <w:r w:rsidR="00E94832" w:rsidRPr="008A1D85">
        <w:rPr>
          <w:rFonts w:ascii="Times New Roman" w:hAnsi="Times New Roman" w:cs="Times New Roman"/>
          <w:sz w:val="18"/>
        </w:rPr>
        <w:t>.</w:t>
      </w:r>
    </w:p>
    <w:p w:rsidR="000B2E33" w:rsidRPr="000B2E33" w:rsidRDefault="00F3113B" w:rsidP="000C66EE">
      <w:pPr>
        <w:tabs>
          <w:tab w:val="left" w:pos="2955"/>
        </w:tabs>
        <w:spacing w:line="240" w:lineRule="auto"/>
        <w:rPr>
          <w:rFonts w:ascii="Times New Roman" w:hAnsi="Times New Roman" w:cs="Times New Roman"/>
          <w:sz w:val="18"/>
        </w:rPr>
      </w:pPr>
      <w:r>
        <w:rPr>
          <w:rFonts w:ascii="Times New Roman" w:hAnsi="Times New Roman" w:cs="Times New Roman"/>
          <w:sz w:val="18"/>
        </w:rPr>
        <w:t xml:space="preserve">*Se considera a los </w:t>
      </w:r>
      <w:r w:rsidR="00C704FF">
        <w:rPr>
          <w:rFonts w:ascii="Times New Roman" w:hAnsi="Times New Roman" w:cs="Times New Roman"/>
          <w:sz w:val="18"/>
        </w:rPr>
        <w:t>trabajadores del</w:t>
      </w:r>
      <w:r>
        <w:rPr>
          <w:rFonts w:ascii="Times New Roman" w:hAnsi="Times New Roman" w:cs="Times New Roman"/>
          <w:sz w:val="18"/>
        </w:rPr>
        <w:t xml:space="preserve"> sector público de asistencia como asalariados formales</w:t>
      </w:r>
      <w:r w:rsidR="000F6D7C">
        <w:rPr>
          <w:rFonts w:ascii="Times New Roman" w:hAnsi="Times New Roman" w:cs="Times New Roman"/>
          <w:sz w:val="18"/>
        </w:rPr>
        <w:t xml:space="preserve"> ya que son empleados por el sector público. </w:t>
      </w:r>
    </w:p>
    <w:p w:rsidR="00C920C3" w:rsidRPr="000C66EE" w:rsidRDefault="00C920C3" w:rsidP="000C66EE">
      <w:pPr>
        <w:pStyle w:val="Prrafodelista"/>
        <w:numPr>
          <w:ilvl w:val="0"/>
          <w:numId w:val="27"/>
        </w:numPr>
        <w:tabs>
          <w:tab w:val="left" w:pos="2955"/>
        </w:tabs>
        <w:rPr>
          <w:rFonts w:ascii="Times New Roman" w:hAnsi="Times New Roman" w:cs="Times New Roman"/>
          <w:b/>
          <w:sz w:val="24"/>
        </w:rPr>
      </w:pPr>
      <w:r w:rsidRPr="000C66EE">
        <w:rPr>
          <w:rFonts w:ascii="Times New Roman" w:hAnsi="Times New Roman" w:cs="Times New Roman"/>
          <w:b/>
          <w:sz w:val="24"/>
        </w:rPr>
        <w:t>Inserción sectorial económico-ocupacional y segmentos del mercado laboral</w:t>
      </w:r>
    </w:p>
    <w:p w:rsidR="00C57E4F" w:rsidRDefault="003D6477" w:rsidP="004B3FDA">
      <w:pPr>
        <w:pStyle w:val="Default"/>
        <w:spacing w:line="360" w:lineRule="auto"/>
        <w:ind w:firstLine="340"/>
        <w:jc w:val="both"/>
        <w:rPr>
          <w:rFonts w:ascii="Times New Roman" w:hAnsi="Times New Roman" w:cs="Times New Roman"/>
        </w:rPr>
      </w:pPr>
      <w:r w:rsidRPr="008C4038">
        <w:rPr>
          <w:rFonts w:ascii="Times New Roman" w:hAnsi="Times New Roman" w:cs="Times New Roman"/>
        </w:rPr>
        <w:t>Cuando analizamos particularmente al segmento no regulado de la fuerza de trabajo joven</w:t>
      </w:r>
      <w:r w:rsidR="00F73BDF" w:rsidRPr="008C4038">
        <w:rPr>
          <w:rFonts w:ascii="Times New Roman" w:hAnsi="Times New Roman" w:cs="Times New Roman"/>
        </w:rPr>
        <w:t xml:space="preserve"> según</w:t>
      </w:r>
      <w:r w:rsidR="00F73BDF">
        <w:rPr>
          <w:rFonts w:ascii="Times New Roman" w:hAnsi="Times New Roman" w:cs="Times New Roman"/>
        </w:rPr>
        <w:t xml:space="preserve"> sectores </w:t>
      </w:r>
      <w:r w:rsidR="00062720">
        <w:rPr>
          <w:rFonts w:ascii="Times New Roman" w:hAnsi="Times New Roman" w:cs="Times New Roman"/>
        </w:rPr>
        <w:t xml:space="preserve">económico-ocupacionales </w:t>
      </w:r>
      <w:r w:rsidR="00F73BDF">
        <w:rPr>
          <w:rFonts w:ascii="Times New Roman" w:hAnsi="Times New Roman" w:cs="Times New Roman"/>
        </w:rPr>
        <w:t>(</w:t>
      </w:r>
      <w:r w:rsidR="000D55A1">
        <w:rPr>
          <w:rFonts w:ascii="Times New Roman" w:hAnsi="Times New Roman" w:cs="Times New Roman"/>
        </w:rPr>
        <w:t>Cuadro</w:t>
      </w:r>
      <w:r w:rsidR="00FA39DC">
        <w:rPr>
          <w:rFonts w:ascii="Times New Roman" w:hAnsi="Times New Roman" w:cs="Times New Roman"/>
        </w:rPr>
        <w:t xml:space="preserve"> n° </w:t>
      </w:r>
      <w:r w:rsidR="000D55A1">
        <w:rPr>
          <w:rFonts w:ascii="Times New Roman" w:hAnsi="Times New Roman" w:cs="Times New Roman"/>
        </w:rPr>
        <w:t>1</w:t>
      </w:r>
      <w:r w:rsidR="00FA39DC">
        <w:rPr>
          <w:rFonts w:ascii="Times New Roman" w:hAnsi="Times New Roman" w:cs="Times New Roman"/>
        </w:rPr>
        <w:t>)</w:t>
      </w:r>
      <w:r>
        <w:rPr>
          <w:rFonts w:ascii="Times New Roman" w:hAnsi="Times New Roman" w:cs="Times New Roman"/>
        </w:rPr>
        <w:t>, podemos ver diferencias más sustantivas entre regímenes económicos</w:t>
      </w:r>
      <w:r w:rsidR="00556573">
        <w:rPr>
          <w:rFonts w:ascii="Times New Roman" w:hAnsi="Times New Roman" w:cs="Times New Roman"/>
        </w:rPr>
        <w:t xml:space="preserve"> en torno a la calidad de los puestos generados</w:t>
      </w:r>
      <w:r>
        <w:rPr>
          <w:rFonts w:ascii="Times New Roman" w:hAnsi="Times New Roman" w:cs="Times New Roman"/>
        </w:rPr>
        <w:t>.</w:t>
      </w:r>
      <w:r w:rsidR="00E95BC6">
        <w:rPr>
          <w:rFonts w:ascii="Times New Roman" w:hAnsi="Times New Roman" w:cs="Times New Roman"/>
        </w:rPr>
        <w:t xml:space="preserve"> </w:t>
      </w:r>
      <w:r w:rsidR="00340193">
        <w:rPr>
          <w:rFonts w:ascii="Times New Roman" w:hAnsi="Times New Roman" w:cs="Times New Roman"/>
        </w:rPr>
        <w:t xml:space="preserve">De principio </w:t>
      </w:r>
      <w:r w:rsidR="0018418C">
        <w:rPr>
          <w:rFonts w:ascii="Times New Roman" w:hAnsi="Times New Roman" w:cs="Times New Roman"/>
        </w:rPr>
        <w:t>hasta la crisis</w:t>
      </w:r>
      <w:r w:rsidR="00340193">
        <w:rPr>
          <w:rFonts w:ascii="Times New Roman" w:hAnsi="Times New Roman" w:cs="Times New Roman"/>
        </w:rPr>
        <w:t xml:space="preserve"> del</w:t>
      </w:r>
      <w:r w:rsidR="00927DDB">
        <w:rPr>
          <w:rFonts w:ascii="Times New Roman" w:hAnsi="Times New Roman" w:cs="Times New Roman"/>
        </w:rPr>
        <w:t xml:space="preserve"> régimen</w:t>
      </w:r>
      <w:r w:rsidR="00E95BC6">
        <w:rPr>
          <w:rFonts w:ascii="Times New Roman" w:hAnsi="Times New Roman" w:cs="Times New Roman"/>
        </w:rPr>
        <w:t xml:space="preserve"> </w:t>
      </w:r>
      <w:r w:rsidR="00062720">
        <w:rPr>
          <w:rFonts w:ascii="Times New Roman" w:hAnsi="Times New Roman" w:cs="Times New Roman"/>
        </w:rPr>
        <w:t>neoliberal de la convertibilidad</w:t>
      </w:r>
      <w:r w:rsidR="00E95BC6">
        <w:rPr>
          <w:rFonts w:ascii="Times New Roman" w:hAnsi="Times New Roman" w:cs="Times New Roman"/>
        </w:rPr>
        <w:t xml:space="preserve"> se registra un aumento de la participación del empleo no regulado para el caso de los jóvenes en los distintos sectores de la estructura ocupacional del </w:t>
      </w:r>
      <w:r w:rsidR="005316BB">
        <w:rPr>
          <w:rFonts w:ascii="Times New Roman" w:hAnsi="Times New Roman" w:cs="Times New Roman"/>
        </w:rPr>
        <w:t>GBA</w:t>
      </w:r>
      <w:r w:rsidR="00340193">
        <w:rPr>
          <w:rFonts w:ascii="Times New Roman" w:hAnsi="Times New Roman" w:cs="Times New Roman"/>
        </w:rPr>
        <w:t>. L</w:t>
      </w:r>
      <w:r w:rsidR="00E95BC6">
        <w:rPr>
          <w:rFonts w:ascii="Times New Roman" w:hAnsi="Times New Roman" w:cs="Times New Roman"/>
        </w:rPr>
        <w:t xml:space="preserve">os empleos no regulados dentro del sector micro informal son los que mayores porcentajes registran, creciendo </w:t>
      </w:r>
      <w:r w:rsidR="00B810A4">
        <w:rPr>
          <w:rFonts w:ascii="Times New Roman" w:hAnsi="Times New Roman" w:cs="Times New Roman"/>
        </w:rPr>
        <w:t>casi 1</w:t>
      </w:r>
      <w:r w:rsidR="00E95BC6">
        <w:rPr>
          <w:rFonts w:ascii="Times New Roman" w:hAnsi="Times New Roman" w:cs="Times New Roman"/>
        </w:rPr>
        <w:t>0 puntos porcentuales de 1992 a 2001 (</w:t>
      </w:r>
      <w:r w:rsidR="00B810A4">
        <w:rPr>
          <w:rFonts w:ascii="Times New Roman" w:hAnsi="Times New Roman" w:cs="Times New Roman"/>
        </w:rPr>
        <w:t>69,3</w:t>
      </w:r>
      <w:r w:rsidR="0018418C">
        <w:rPr>
          <w:rFonts w:ascii="Times New Roman" w:hAnsi="Times New Roman" w:cs="Times New Roman"/>
        </w:rPr>
        <w:t>%</w:t>
      </w:r>
      <w:r w:rsidR="00927DDB">
        <w:rPr>
          <w:rFonts w:ascii="Times New Roman" w:hAnsi="Times New Roman" w:cs="Times New Roman"/>
        </w:rPr>
        <w:t xml:space="preserve"> a</w:t>
      </w:r>
      <w:r w:rsidR="00B810A4">
        <w:rPr>
          <w:rFonts w:ascii="Times New Roman" w:hAnsi="Times New Roman" w:cs="Times New Roman"/>
        </w:rPr>
        <w:t xml:space="preserve"> 78,3</w:t>
      </w:r>
      <w:r w:rsidR="00E95BC6">
        <w:rPr>
          <w:rFonts w:ascii="Times New Roman" w:hAnsi="Times New Roman" w:cs="Times New Roman"/>
        </w:rPr>
        <w:t xml:space="preserve">%). </w:t>
      </w:r>
      <w:r w:rsidR="00340193">
        <w:rPr>
          <w:rFonts w:ascii="Times New Roman" w:hAnsi="Times New Roman" w:cs="Times New Roman"/>
        </w:rPr>
        <w:t>Dentro</w:t>
      </w:r>
      <w:r w:rsidR="00E95BC6">
        <w:rPr>
          <w:rFonts w:ascii="Times New Roman" w:hAnsi="Times New Roman" w:cs="Times New Roman"/>
        </w:rPr>
        <w:t xml:space="preserve"> del sector formal</w:t>
      </w:r>
      <w:r w:rsidR="00525610">
        <w:rPr>
          <w:rFonts w:ascii="Times New Roman" w:hAnsi="Times New Roman" w:cs="Times New Roman"/>
        </w:rPr>
        <w:t xml:space="preserve"> no se registra un cambio importante de punta a punta del periodo</w:t>
      </w:r>
      <w:r w:rsidR="00935200">
        <w:rPr>
          <w:rFonts w:ascii="Times New Roman" w:hAnsi="Times New Roman" w:cs="Times New Roman"/>
        </w:rPr>
        <w:t xml:space="preserve"> </w:t>
      </w:r>
      <w:r w:rsidR="00525610">
        <w:rPr>
          <w:rFonts w:ascii="Times New Roman" w:hAnsi="Times New Roman" w:cs="Times New Roman"/>
        </w:rPr>
        <w:t>(</w:t>
      </w:r>
      <w:r w:rsidR="00935200">
        <w:rPr>
          <w:rFonts w:ascii="Times New Roman" w:hAnsi="Times New Roman" w:cs="Times New Roman"/>
        </w:rPr>
        <w:t xml:space="preserve">de </w:t>
      </w:r>
      <w:r w:rsidR="00525610">
        <w:rPr>
          <w:rFonts w:ascii="Times New Roman" w:hAnsi="Times New Roman" w:cs="Times New Roman"/>
        </w:rPr>
        <w:t>47,2</w:t>
      </w:r>
      <w:r w:rsidR="00935200">
        <w:rPr>
          <w:rFonts w:ascii="Times New Roman" w:hAnsi="Times New Roman" w:cs="Times New Roman"/>
        </w:rPr>
        <w:t xml:space="preserve">% a </w:t>
      </w:r>
      <w:r w:rsidR="00525610">
        <w:rPr>
          <w:rFonts w:ascii="Times New Roman" w:hAnsi="Times New Roman" w:cs="Times New Roman"/>
        </w:rPr>
        <w:t>47,9%), aunque se debe a que los años 1992 y el 2001 son precisamente los de mayor porcentaje de trabajadores no regulados. Sí se observan</w:t>
      </w:r>
      <w:r w:rsidR="00283A83">
        <w:rPr>
          <w:rFonts w:ascii="Times New Roman" w:hAnsi="Times New Roman" w:cs="Times New Roman"/>
        </w:rPr>
        <w:t xml:space="preserve"> -aunque leves- </w:t>
      </w:r>
      <w:r w:rsidR="00525610">
        <w:rPr>
          <w:rFonts w:ascii="Times New Roman" w:hAnsi="Times New Roman" w:cs="Times New Roman"/>
        </w:rPr>
        <w:t>variaciones en la proporción de este segmento al interior del periodo, en los años 1994 y 1998 (44,8% y 45,2% respectivamente). Además,</w:t>
      </w:r>
      <w:r w:rsidR="00340193">
        <w:rPr>
          <w:rFonts w:ascii="Times New Roman" w:hAnsi="Times New Roman" w:cs="Times New Roman"/>
        </w:rPr>
        <w:t xml:space="preserve"> </w:t>
      </w:r>
      <w:r w:rsidR="00935200">
        <w:rPr>
          <w:rFonts w:ascii="Times New Roman" w:hAnsi="Times New Roman" w:cs="Times New Roman"/>
        </w:rPr>
        <w:t>v</w:t>
      </w:r>
      <w:r w:rsidR="00E95BC6">
        <w:rPr>
          <w:rFonts w:ascii="Times New Roman" w:hAnsi="Times New Roman" w:cs="Times New Roman"/>
        </w:rPr>
        <w:t xml:space="preserve">ale la pena destacar, </w:t>
      </w:r>
      <w:r w:rsidR="00DA2F4E">
        <w:rPr>
          <w:rFonts w:ascii="Times New Roman" w:hAnsi="Times New Roman" w:cs="Times New Roman"/>
        </w:rPr>
        <w:t>que,</w:t>
      </w:r>
      <w:r w:rsidR="00E95BC6">
        <w:rPr>
          <w:rFonts w:ascii="Times New Roman" w:hAnsi="Times New Roman" w:cs="Times New Roman"/>
        </w:rPr>
        <w:t xml:space="preserve"> si bien la participación de los empleos no </w:t>
      </w:r>
      <w:r w:rsidR="00E95BC6">
        <w:rPr>
          <w:rFonts w:ascii="Times New Roman" w:hAnsi="Times New Roman" w:cs="Times New Roman"/>
        </w:rPr>
        <w:lastRenderedPageBreak/>
        <w:t>regulados en el sector público no superan los porcentajes del sector micro informal,</w:t>
      </w:r>
      <w:r w:rsidR="00D06BA7">
        <w:rPr>
          <w:rFonts w:ascii="Times New Roman" w:hAnsi="Times New Roman" w:cs="Times New Roman"/>
        </w:rPr>
        <w:t xml:space="preserve"> se acercan más a los mismos respecto al formal,</w:t>
      </w:r>
      <w:r w:rsidR="00E95BC6">
        <w:rPr>
          <w:rFonts w:ascii="Times New Roman" w:hAnsi="Times New Roman" w:cs="Times New Roman"/>
        </w:rPr>
        <w:t xml:space="preserve"> </w:t>
      </w:r>
      <w:r w:rsidR="00D06BA7">
        <w:rPr>
          <w:rFonts w:ascii="Times New Roman" w:hAnsi="Times New Roman" w:cs="Times New Roman"/>
        </w:rPr>
        <w:t xml:space="preserve">registrándose un leve </w:t>
      </w:r>
      <w:r w:rsidR="00E95BC6">
        <w:rPr>
          <w:rFonts w:ascii="Times New Roman" w:hAnsi="Times New Roman" w:cs="Times New Roman"/>
        </w:rPr>
        <w:t>crecimiento del principio al fin</w:t>
      </w:r>
      <w:r w:rsidR="007A5230">
        <w:rPr>
          <w:rFonts w:ascii="Times New Roman" w:hAnsi="Times New Roman" w:cs="Times New Roman"/>
        </w:rPr>
        <w:t xml:space="preserve"> de la convertibilidad</w:t>
      </w:r>
      <w:r w:rsidR="00E95BC6">
        <w:rPr>
          <w:rFonts w:ascii="Times New Roman" w:hAnsi="Times New Roman" w:cs="Times New Roman"/>
        </w:rPr>
        <w:t xml:space="preserve">, pasando de </w:t>
      </w:r>
      <w:r w:rsidR="00525610">
        <w:rPr>
          <w:rFonts w:ascii="Times New Roman" w:hAnsi="Times New Roman" w:cs="Times New Roman"/>
        </w:rPr>
        <w:t>52,4</w:t>
      </w:r>
      <w:r w:rsidR="007A5230">
        <w:rPr>
          <w:rFonts w:ascii="Times New Roman" w:hAnsi="Times New Roman" w:cs="Times New Roman"/>
        </w:rPr>
        <w:t xml:space="preserve">% en 1992 a </w:t>
      </w:r>
      <w:r w:rsidR="00525610">
        <w:rPr>
          <w:rFonts w:ascii="Times New Roman" w:hAnsi="Times New Roman" w:cs="Times New Roman"/>
        </w:rPr>
        <w:t>54</w:t>
      </w:r>
      <w:r w:rsidR="007A5230">
        <w:rPr>
          <w:rFonts w:ascii="Times New Roman" w:hAnsi="Times New Roman" w:cs="Times New Roman"/>
        </w:rPr>
        <w:t>,7</w:t>
      </w:r>
      <w:r w:rsidR="00E95BC6">
        <w:rPr>
          <w:rFonts w:ascii="Times New Roman" w:hAnsi="Times New Roman" w:cs="Times New Roman"/>
        </w:rPr>
        <w:t>% de los casos</w:t>
      </w:r>
      <w:r w:rsidR="007A5230">
        <w:rPr>
          <w:rFonts w:ascii="Times New Roman" w:hAnsi="Times New Roman" w:cs="Times New Roman"/>
        </w:rPr>
        <w:t xml:space="preserve"> en 2001</w:t>
      </w:r>
      <w:r w:rsidR="00E95BC6">
        <w:rPr>
          <w:rFonts w:ascii="Times New Roman" w:hAnsi="Times New Roman" w:cs="Times New Roman"/>
        </w:rPr>
        <w:t xml:space="preserve">.   </w:t>
      </w:r>
    </w:p>
    <w:p w:rsidR="00277C2D" w:rsidRDefault="00277C2D" w:rsidP="004B3FDA">
      <w:pPr>
        <w:pStyle w:val="Default"/>
        <w:spacing w:line="360" w:lineRule="auto"/>
        <w:ind w:firstLine="340"/>
        <w:jc w:val="both"/>
        <w:rPr>
          <w:rFonts w:ascii="Times New Roman" w:hAnsi="Times New Roman" w:cs="Times New Roman"/>
        </w:rPr>
      </w:pPr>
      <w:r>
        <w:rPr>
          <w:rFonts w:ascii="Times New Roman" w:hAnsi="Times New Roman" w:cs="Times New Roman"/>
        </w:rPr>
        <w:t xml:space="preserve">Si bien tanto en el total de ocupados del </w:t>
      </w:r>
      <w:r w:rsidR="005316BB">
        <w:rPr>
          <w:rFonts w:ascii="Times New Roman" w:hAnsi="Times New Roman" w:cs="Times New Roman"/>
        </w:rPr>
        <w:t>GBA</w:t>
      </w:r>
      <w:r>
        <w:rPr>
          <w:rFonts w:ascii="Times New Roman" w:hAnsi="Times New Roman" w:cs="Times New Roman"/>
        </w:rPr>
        <w:t xml:space="preserve"> como en el caso de la fuerza de trabajo joven, la gran mayoría de los trabajadores precarios están insertos en el sector micro informal,</w:t>
      </w:r>
      <w:r w:rsidR="00A440F6">
        <w:rPr>
          <w:rFonts w:ascii="Times New Roman" w:hAnsi="Times New Roman" w:cs="Times New Roman"/>
        </w:rPr>
        <w:t xml:space="preserve"> se observa una caída en los primeros años de recuperación económica en la </w:t>
      </w:r>
      <w:r w:rsidR="000C0411">
        <w:rPr>
          <w:rFonts w:ascii="Times New Roman" w:hAnsi="Times New Roman" w:cs="Times New Roman"/>
        </w:rPr>
        <w:t>post-convertibilidad</w:t>
      </w:r>
      <w:r w:rsidR="00D06BA7">
        <w:rPr>
          <w:rFonts w:ascii="Times New Roman" w:hAnsi="Times New Roman" w:cs="Times New Roman"/>
        </w:rPr>
        <w:t>, que a partir del año 2012</w:t>
      </w:r>
      <w:r w:rsidR="00A440F6">
        <w:rPr>
          <w:rFonts w:ascii="Times New Roman" w:hAnsi="Times New Roman" w:cs="Times New Roman"/>
        </w:rPr>
        <w:t xml:space="preserve"> vuelve a aumentar</w:t>
      </w:r>
      <w:r>
        <w:rPr>
          <w:rFonts w:ascii="Times New Roman" w:hAnsi="Times New Roman" w:cs="Times New Roman"/>
        </w:rPr>
        <w:t xml:space="preserve">. Mientras que en el año 1998 se registra un </w:t>
      </w:r>
      <w:r w:rsidR="00D06BA7">
        <w:rPr>
          <w:rFonts w:ascii="Times New Roman" w:hAnsi="Times New Roman" w:cs="Times New Roman"/>
        </w:rPr>
        <w:t>69,4</w:t>
      </w:r>
      <w:r>
        <w:rPr>
          <w:rFonts w:ascii="Times New Roman" w:hAnsi="Times New Roman" w:cs="Times New Roman"/>
        </w:rPr>
        <w:t xml:space="preserve">% de los casos, como el año de mayor porcentaje de no regulados en este sector durante la convertibilidad, en el año 2004 se </w:t>
      </w:r>
      <w:r w:rsidR="00A440F6">
        <w:rPr>
          <w:rFonts w:ascii="Times New Roman" w:hAnsi="Times New Roman" w:cs="Times New Roman"/>
        </w:rPr>
        <w:t>observa</w:t>
      </w:r>
      <w:r w:rsidR="007A5230">
        <w:rPr>
          <w:rFonts w:ascii="Times New Roman" w:hAnsi="Times New Roman" w:cs="Times New Roman"/>
        </w:rPr>
        <w:t xml:space="preserve"> un 8</w:t>
      </w:r>
      <w:r w:rsidR="00D06BA7">
        <w:rPr>
          <w:rFonts w:ascii="Times New Roman" w:hAnsi="Times New Roman" w:cs="Times New Roman"/>
        </w:rPr>
        <w:t>1,5</w:t>
      </w:r>
      <w:r w:rsidR="007A5230">
        <w:rPr>
          <w:rFonts w:ascii="Times New Roman" w:hAnsi="Times New Roman" w:cs="Times New Roman"/>
        </w:rPr>
        <w:t>%</w:t>
      </w:r>
      <w:r>
        <w:rPr>
          <w:rFonts w:ascii="Times New Roman" w:hAnsi="Times New Roman" w:cs="Times New Roman"/>
        </w:rPr>
        <w:t>% terminando el p</w:t>
      </w:r>
      <w:r w:rsidR="00A440F6">
        <w:rPr>
          <w:rFonts w:ascii="Times New Roman" w:hAnsi="Times New Roman" w:cs="Times New Roman"/>
        </w:rPr>
        <w:t xml:space="preserve">eriodo en el año 2014 con un </w:t>
      </w:r>
      <w:r w:rsidR="00D06BA7">
        <w:rPr>
          <w:rFonts w:ascii="Times New Roman" w:hAnsi="Times New Roman" w:cs="Times New Roman"/>
        </w:rPr>
        <w:t>79,7</w:t>
      </w:r>
      <w:r w:rsidR="00A440F6">
        <w:rPr>
          <w:rFonts w:ascii="Times New Roman" w:hAnsi="Times New Roman" w:cs="Times New Roman"/>
        </w:rPr>
        <w:t>%</w:t>
      </w:r>
      <w:r>
        <w:rPr>
          <w:rFonts w:ascii="Times New Roman" w:hAnsi="Times New Roman" w:cs="Times New Roman"/>
        </w:rPr>
        <w:t xml:space="preserve">. </w:t>
      </w:r>
    </w:p>
    <w:p w:rsidR="00A440F6" w:rsidRDefault="00277C2D" w:rsidP="004B3FDA">
      <w:pPr>
        <w:pStyle w:val="Default"/>
        <w:spacing w:line="360" w:lineRule="auto"/>
        <w:ind w:firstLine="340"/>
        <w:jc w:val="both"/>
        <w:rPr>
          <w:rFonts w:ascii="Times New Roman" w:hAnsi="Times New Roman" w:cs="Times New Roman"/>
        </w:rPr>
      </w:pPr>
      <w:r>
        <w:rPr>
          <w:rFonts w:ascii="Times New Roman" w:hAnsi="Times New Roman" w:cs="Times New Roman"/>
        </w:rPr>
        <w:t xml:space="preserve">Ahora bien, </w:t>
      </w:r>
      <w:r w:rsidR="00D06BA7">
        <w:rPr>
          <w:rFonts w:ascii="Times New Roman" w:hAnsi="Times New Roman" w:cs="Times New Roman"/>
        </w:rPr>
        <w:t>la tendencia en el</w:t>
      </w:r>
      <w:r>
        <w:rPr>
          <w:rFonts w:ascii="Times New Roman" w:hAnsi="Times New Roman" w:cs="Times New Roman"/>
        </w:rPr>
        <w:t xml:space="preserve"> sector formal</w:t>
      </w:r>
      <w:r w:rsidR="00D06BA7">
        <w:rPr>
          <w:rFonts w:ascii="Times New Roman" w:hAnsi="Times New Roman" w:cs="Times New Roman"/>
        </w:rPr>
        <w:t xml:space="preserve"> es m</w:t>
      </w:r>
      <w:r w:rsidR="00AD14DE">
        <w:rPr>
          <w:rFonts w:ascii="Times New Roman" w:hAnsi="Times New Roman" w:cs="Times New Roman"/>
        </w:rPr>
        <w:t>ás escalonada</w:t>
      </w:r>
      <w:r w:rsidR="00B8260E">
        <w:rPr>
          <w:rFonts w:ascii="Times New Roman" w:hAnsi="Times New Roman" w:cs="Times New Roman"/>
        </w:rPr>
        <w:t>. Ese tipo de tendencia es aún</w:t>
      </w:r>
      <w:r>
        <w:rPr>
          <w:rFonts w:ascii="Times New Roman" w:hAnsi="Times New Roman" w:cs="Times New Roman"/>
        </w:rPr>
        <w:t xml:space="preserve"> más significativa al considerar al sector público. En este sentido podemos ver que si bien disminuye la participación de este segmento en el sector formal entre la convertibilidad y la </w:t>
      </w:r>
      <w:r w:rsidR="000C0411">
        <w:rPr>
          <w:rFonts w:ascii="Times New Roman" w:hAnsi="Times New Roman" w:cs="Times New Roman"/>
        </w:rPr>
        <w:t>post-convertibilidad</w:t>
      </w:r>
      <w:r>
        <w:rPr>
          <w:rFonts w:ascii="Times New Roman" w:hAnsi="Times New Roman" w:cs="Times New Roman"/>
        </w:rPr>
        <w:t xml:space="preserve"> (aproximadamente de un máximo de </w:t>
      </w:r>
      <w:r w:rsidR="00AD14DE">
        <w:rPr>
          <w:rFonts w:ascii="Times New Roman" w:hAnsi="Times New Roman" w:cs="Times New Roman"/>
        </w:rPr>
        <w:t>47% en 1992</w:t>
      </w:r>
      <w:r w:rsidR="007A5230">
        <w:rPr>
          <w:rFonts w:ascii="Times New Roman" w:hAnsi="Times New Roman" w:cs="Times New Roman"/>
        </w:rPr>
        <w:t xml:space="preserve"> a un mínimo de </w:t>
      </w:r>
      <w:r w:rsidR="00AD14DE">
        <w:rPr>
          <w:rFonts w:ascii="Times New Roman" w:hAnsi="Times New Roman" w:cs="Times New Roman"/>
        </w:rPr>
        <w:t>44,5</w:t>
      </w:r>
      <w:r w:rsidR="007A5230">
        <w:rPr>
          <w:rFonts w:ascii="Times New Roman" w:hAnsi="Times New Roman" w:cs="Times New Roman"/>
        </w:rPr>
        <w:t xml:space="preserve">% </w:t>
      </w:r>
      <w:r w:rsidR="00AD14DE">
        <w:rPr>
          <w:rFonts w:ascii="Times New Roman" w:hAnsi="Times New Roman" w:cs="Times New Roman"/>
        </w:rPr>
        <w:t>en 2007</w:t>
      </w:r>
      <w:r>
        <w:rPr>
          <w:rFonts w:ascii="Times New Roman" w:hAnsi="Times New Roman" w:cs="Times New Roman"/>
        </w:rPr>
        <w:t>), en el sector público disminuyen s</w:t>
      </w:r>
      <w:r w:rsidR="007A5230">
        <w:rPr>
          <w:rFonts w:ascii="Times New Roman" w:hAnsi="Times New Roman" w:cs="Times New Roman"/>
        </w:rPr>
        <w:t xml:space="preserve">u </w:t>
      </w:r>
      <w:r w:rsidR="00AD14DE">
        <w:rPr>
          <w:rFonts w:ascii="Times New Roman" w:hAnsi="Times New Roman" w:cs="Times New Roman"/>
        </w:rPr>
        <w:t>participación de un máximo de 54</w:t>
      </w:r>
      <w:r w:rsidR="00483F4D">
        <w:rPr>
          <w:rFonts w:ascii="Times New Roman" w:hAnsi="Times New Roman" w:cs="Times New Roman"/>
        </w:rPr>
        <w:t>,</w:t>
      </w:r>
      <w:r w:rsidR="007A5230">
        <w:rPr>
          <w:rFonts w:ascii="Times New Roman" w:hAnsi="Times New Roman" w:cs="Times New Roman"/>
        </w:rPr>
        <w:t>7% en 2001</w:t>
      </w:r>
      <w:r>
        <w:rPr>
          <w:rFonts w:ascii="Times New Roman" w:hAnsi="Times New Roman" w:cs="Times New Roman"/>
        </w:rPr>
        <w:t xml:space="preserve"> a</w:t>
      </w:r>
      <w:r w:rsidR="00062720">
        <w:rPr>
          <w:rFonts w:ascii="Times New Roman" w:hAnsi="Times New Roman" w:cs="Times New Roman"/>
        </w:rPr>
        <w:t xml:space="preserve"> un mínimo de </w:t>
      </w:r>
      <w:r w:rsidR="00AD14DE">
        <w:rPr>
          <w:rFonts w:ascii="Times New Roman" w:hAnsi="Times New Roman" w:cs="Times New Roman"/>
        </w:rPr>
        <w:t>45,4</w:t>
      </w:r>
      <w:r w:rsidR="00062720">
        <w:rPr>
          <w:rFonts w:ascii="Times New Roman" w:hAnsi="Times New Roman" w:cs="Times New Roman"/>
        </w:rPr>
        <w:t>% en el 2014.</w:t>
      </w:r>
    </w:p>
    <w:p w:rsidR="004B3FDA" w:rsidRDefault="004B3FDA" w:rsidP="004B3FDA">
      <w:pPr>
        <w:pStyle w:val="Default"/>
        <w:spacing w:line="360" w:lineRule="auto"/>
        <w:ind w:firstLine="340"/>
        <w:jc w:val="both"/>
        <w:rPr>
          <w:rFonts w:ascii="Times New Roman" w:hAnsi="Times New Roman" w:cs="Times New Roman"/>
        </w:rPr>
      </w:pPr>
    </w:p>
    <w:tbl>
      <w:tblPr>
        <w:tblW w:w="8967" w:type="dxa"/>
        <w:jc w:val="center"/>
        <w:tblCellMar>
          <w:left w:w="70" w:type="dxa"/>
          <w:right w:w="70" w:type="dxa"/>
        </w:tblCellMar>
        <w:tblLook w:val="04A0" w:firstRow="1" w:lastRow="0" w:firstColumn="1" w:lastColumn="0" w:noHBand="0" w:noVBand="1"/>
      </w:tblPr>
      <w:tblGrid>
        <w:gridCol w:w="2304"/>
        <w:gridCol w:w="855"/>
        <w:gridCol w:w="745"/>
        <w:gridCol w:w="745"/>
        <w:gridCol w:w="745"/>
        <w:gridCol w:w="745"/>
        <w:gridCol w:w="745"/>
        <w:gridCol w:w="745"/>
        <w:gridCol w:w="745"/>
        <w:gridCol w:w="745"/>
      </w:tblGrid>
      <w:tr w:rsidR="00283A83" w:rsidRPr="00283A83" w:rsidTr="000D55A1">
        <w:trPr>
          <w:trHeight w:val="288"/>
          <w:jc w:val="center"/>
        </w:trPr>
        <w:tc>
          <w:tcPr>
            <w:tcW w:w="8967" w:type="dxa"/>
            <w:gridSpan w:val="10"/>
            <w:vMerge w:val="restart"/>
            <w:tcBorders>
              <w:top w:val="nil"/>
              <w:left w:val="nil"/>
              <w:bottom w:val="nil"/>
              <w:right w:val="nil"/>
            </w:tcBorders>
            <w:shd w:val="clear" w:color="auto" w:fill="auto"/>
            <w:vAlign w:val="bottom"/>
            <w:hideMark/>
          </w:tcPr>
          <w:p w:rsidR="00283A83" w:rsidRPr="00DB54A4" w:rsidRDefault="000D55A1" w:rsidP="000D55A1">
            <w:pPr>
              <w:spacing w:after="0" w:line="240" w:lineRule="auto"/>
              <w:jc w:val="both"/>
              <w:rPr>
                <w:rFonts w:ascii="Times New Roman" w:eastAsia="Times New Roman" w:hAnsi="Times New Roman" w:cs="Times New Roman"/>
                <w:color w:val="000000"/>
                <w:lang w:eastAsia="es-AR"/>
              </w:rPr>
            </w:pPr>
            <w:r w:rsidRPr="00DB54A4">
              <w:rPr>
                <w:rFonts w:ascii="Times New Roman" w:eastAsia="Times New Roman" w:hAnsi="Times New Roman" w:cs="Times New Roman"/>
                <w:color w:val="000000"/>
                <w:lang w:eastAsia="es-AR"/>
              </w:rPr>
              <w:t>Cuadro n°1:</w:t>
            </w:r>
            <w:r w:rsidR="00283A83" w:rsidRPr="00DB54A4">
              <w:rPr>
                <w:rFonts w:ascii="Times New Roman" w:eastAsia="Times New Roman" w:hAnsi="Times New Roman" w:cs="Times New Roman"/>
                <w:color w:val="000000"/>
                <w:lang w:eastAsia="es-AR"/>
              </w:rPr>
              <w:t xml:space="preserve"> Participación </w:t>
            </w:r>
            <w:proofErr w:type="gramStart"/>
            <w:r w:rsidR="00283A83" w:rsidRPr="00DB54A4">
              <w:rPr>
                <w:rFonts w:ascii="Times New Roman" w:eastAsia="Times New Roman" w:hAnsi="Times New Roman" w:cs="Times New Roman"/>
                <w:color w:val="000000"/>
                <w:lang w:eastAsia="es-AR"/>
              </w:rPr>
              <w:t>del segmento no regulado del empleo en el mercado de trabajo según sectores y categorías económico ocupacionales</w:t>
            </w:r>
            <w:proofErr w:type="gramEnd"/>
            <w:r w:rsidR="00283A83" w:rsidRPr="00DB54A4">
              <w:rPr>
                <w:rFonts w:ascii="Times New Roman" w:eastAsia="Times New Roman" w:hAnsi="Times New Roman" w:cs="Times New Roman"/>
                <w:color w:val="000000"/>
                <w:lang w:eastAsia="es-AR"/>
              </w:rPr>
              <w:t>.</w:t>
            </w:r>
            <w:r w:rsidRPr="00DB54A4">
              <w:rPr>
                <w:rFonts w:ascii="Times New Roman" w:eastAsia="Times New Roman" w:hAnsi="Times New Roman" w:cs="Times New Roman"/>
                <w:color w:val="000000"/>
                <w:lang w:eastAsia="es-AR"/>
              </w:rPr>
              <w:t xml:space="preserve"> </w:t>
            </w:r>
            <w:r w:rsidR="00283A83" w:rsidRPr="00DB54A4">
              <w:rPr>
                <w:rFonts w:ascii="Times New Roman" w:eastAsia="Times New Roman" w:hAnsi="Times New Roman" w:cs="Times New Roman"/>
                <w:color w:val="000000"/>
                <w:lang w:eastAsia="es-AR"/>
              </w:rPr>
              <w:t xml:space="preserve"> Gran Buenos Aires: 1992-2014. En porcentajes del total de ocupados de cada sector o categoría económico ocupacional. </w:t>
            </w:r>
          </w:p>
        </w:tc>
      </w:tr>
      <w:tr w:rsidR="00283A83" w:rsidRPr="00283A83" w:rsidTr="004B3FDA">
        <w:trPr>
          <w:trHeight w:val="450"/>
          <w:jc w:val="center"/>
        </w:trPr>
        <w:tc>
          <w:tcPr>
            <w:tcW w:w="8967" w:type="dxa"/>
            <w:gridSpan w:val="10"/>
            <w:vMerge/>
            <w:tcBorders>
              <w:top w:val="nil"/>
              <w:left w:val="nil"/>
              <w:bottom w:val="single" w:sz="4" w:space="0" w:color="auto"/>
              <w:right w:val="nil"/>
            </w:tcBorders>
            <w:vAlign w:val="center"/>
            <w:hideMark/>
          </w:tcPr>
          <w:p w:rsidR="00283A83" w:rsidRPr="00283A83" w:rsidRDefault="00283A83" w:rsidP="00283A83">
            <w:pPr>
              <w:spacing w:after="0" w:line="240" w:lineRule="auto"/>
              <w:rPr>
                <w:rFonts w:ascii="Times New Roman" w:eastAsia="Times New Roman" w:hAnsi="Times New Roman" w:cs="Times New Roman"/>
                <w:color w:val="000000"/>
                <w:lang w:eastAsia="es-AR"/>
              </w:rPr>
            </w:pPr>
          </w:p>
        </w:tc>
      </w:tr>
      <w:tr w:rsidR="000D55A1" w:rsidRPr="000D55A1" w:rsidTr="004B3FDA">
        <w:trPr>
          <w:trHeight w:val="288"/>
          <w:jc w:val="center"/>
        </w:trPr>
        <w:tc>
          <w:tcPr>
            <w:tcW w:w="2304" w:type="dxa"/>
            <w:vMerge w:val="restart"/>
            <w:tcBorders>
              <w:top w:val="single" w:sz="4" w:space="0" w:color="auto"/>
              <w:left w:val="single" w:sz="4" w:space="0" w:color="auto"/>
              <w:right w:val="single" w:sz="4" w:space="0" w:color="auto"/>
            </w:tcBorders>
            <w:shd w:val="clear" w:color="auto" w:fill="auto"/>
            <w:noWrap/>
            <w:vAlign w:val="bottom"/>
            <w:hideMark/>
          </w:tcPr>
          <w:p w:rsidR="000D55A1" w:rsidRPr="000D55A1" w:rsidRDefault="000D55A1"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 </w:t>
            </w:r>
          </w:p>
          <w:p w:rsidR="000D55A1" w:rsidRPr="00283A83" w:rsidRDefault="000D55A1"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 </w:t>
            </w:r>
          </w:p>
        </w:tc>
        <w:tc>
          <w:tcPr>
            <w:tcW w:w="2307" w:type="dxa"/>
            <w:gridSpan w:val="3"/>
            <w:tcBorders>
              <w:top w:val="single" w:sz="4" w:space="0" w:color="auto"/>
              <w:left w:val="single" w:sz="4" w:space="0" w:color="auto"/>
            </w:tcBorders>
            <w:shd w:val="clear" w:color="auto" w:fill="auto"/>
            <w:noWrap/>
            <w:vAlign w:val="bottom"/>
            <w:hideMark/>
          </w:tcPr>
          <w:p w:rsidR="000D55A1" w:rsidRPr="00283A83" w:rsidRDefault="000D55A1"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Convertibilidad</w:t>
            </w:r>
          </w:p>
        </w:tc>
        <w:tc>
          <w:tcPr>
            <w:tcW w:w="726" w:type="dxa"/>
            <w:tcBorders>
              <w:top w:val="single" w:sz="4" w:space="0" w:color="auto"/>
            </w:tcBorders>
            <w:shd w:val="clear" w:color="auto" w:fill="auto"/>
            <w:noWrap/>
            <w:vAlign w:val="bottom"/>
            <w:hideMark/>
          </w:tcPr>
          <w:p w:rsidR="000D55A1" w:rsidRPr="00283A83" w:rsidRDefault="000D55A1"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Pre-Crisis</w:t>
            </w:r>
          </w:p>
        </w:tc>
        <w:tc>
          <w:tcPr>
            <w:tcW w:w="726" w:type="dxa"/>
            <w:tcBorders>
              <w:top w:val="single" w:sz="4" w:space="0" w:color="auto"/>
            </w:tcBorders>
            <w:shd w:val="clear" w:color="auto" w:fill="auto"/>
            <w:noWrap/>
            <w:vAlign w:val="bottom"/>
            <w:hideMark/>
          </w:tcPr>
          <w:p w:rsidR="000D55A1" w:rsidRPr="00283A83" w:rsidRDefault="000D55A1"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Post-Crisis</w:t>
            </w:r>
          </w:p>
        </w:tc>
        <w:tc>
          <w:tcPr>
            <w:tcW w:w="2904" w:type="dxa"/>
            <w:gridSpan w:val="4"/>
            <w:tcBorders>
              <w:top w:val="single" w:sz="4" w:space="0" w:color="auto"/>
              <w:right w:val="single" w:sz="4" w:space="0" w:color="auto"/>
            </w:tcBorders>
            <w:shd w:val="clear" w:color="auto" w:fill="auto"/>
            <w:noWrap/>
            <w:vAlign w:val="bottom"/>
            <w:hideMark/>
          </w:tcPr>
          <w:p w:rsidR="000D55A1" w:rsidRPr="00283A83" w:rsidRDefault="000D55A1"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Pos</w:t>
            </w:r>
            <w:r w:rsidR="00FF5979">
              <w:rPr>
                <w:rFonts w:ascii="Times New Roman" w:eastAsia="Times New Roman" w:hAnsi="Times New Roman" w:cs="Times New Roman"/>
                <w:b/>
                <w:color w:val="000000"/>
                <w:lang w:eastAsia="es-AR"/>
              </w:rPr>
              <w:t xml:space="preserve">t </w:t>
            </w:r>
            <w:r w:rsidRPr="00283A83">
              <w:rPr>
                <w:rFonts w:ascii="Times New Roman" w:eastAsia="Times New Roman" w:hAnsi="Times New Roman" w:cs="Times New Roman"/>
                <w:b/>
                <w:color w:val="000000"/>
                <w:lang w:eastAsia="es-AR"/>
              </w:rPr>
              <w:t>convertibilidad</w:t>
            </w:r>
          </w:p>
        </w:tc>
      </w:tr>
      <w:tr w:rsidR="000D55A1" w:rsidRPr="000D55A1" w:rsidTr="004B3FDA">
        <w:trPr>
          <w:trHeight w:val="288"/>
          <w:jc w:val="center"/>
        </w:trPr>
        <w:tc>
          <w:tcPr>
            <w:tcW w:w="2304" w:type="dxa"/>
            <w:vMerge/>
            <w:tcBorders>
              <w:left w:val="single" w:sz="4" w:space="0" w:color="auto"/>
              <w:bottom w:val="single" w:sz="4" w:space="0" w:color="auto"/>
              <w:right w:val="single" w:sz="4" w:space="0" w:color="auto"/>
            </w:tcBorders>
            <w:shd w:val="clear" w:color="auto" w:fill="auto"/>
            <w:noWrap/>
            <w:vAlign w:val="bottom"/>
            <w:hideMark/>
          </w:tcPr>
          <w:p w:rsidR="000D55A1" w:rsidRPr="00283A83" w:rsidRDefault="000D55A1" w:rsidP="00283A83">
            <w:pPr>
              <w:spacing w:after="0" w:line="240" w:lineRule="auto"/>
              <w:jc w:val="center"/>
              <w:rPr>
                <w:rFonts w:ascii="Times New Roman" w:eastAsia="Times New Roman" w:hAnsi="Times New Roman" w:cs="Times New Roman"/>
                <w:color w:val="000000"/>
                <w:lang w:eastAsia="es-AR"/>
              </w:rPr>
            </w:pPr>
          </w:p>
        </w:tc>
        <w:tc>
          <w:tcPr>
            <w:tcW w:w="855" w:type="dxa"/>
            <w:tcBorders>
              <w:top w:val="nil"/>
              <w:left w:val="single" w:sz="4" w:space="0" w:color="auto"/>
              <w:bottom w:val="single" w:sz="4" w:space="0" w:color="auto"/>
            </w:tcBorders>
            <w:shd w:val="clear" w:color="auto" w:fill="auto"/>
            <w:noWrap/>
            <w:vAlign w:val="bottom"/>
            <w:hideMark/>
          </w:tcPr>
          <w:p w:rsidR="000D55A1" w:rsidRPr="00283A83" w:rsidRDefault="000D55A1"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1992</w:t>
            </w:r>
          </w:p>
        </w:tc>
        <w:tc>
          <w:tcPr>
            <w:tcW w:w="726" w:type="dxa"/>
            <w:tcBorders>
              <w:top w:val="nil"/>
              <w:bottom w:val="single" w:sz="4" w:space="0" w:color="auto"/>
            </w:tcBorders>
            <w:shd w:val="clear" w:color="auto" w:fill="auto"/>
            <w:noWrap/>
            <w:vAlign w:val="bottom"/>
            <w:hideMark/>
          </w:tcPr>
          <w:p w:rsidR="000D55A1" w:rsidRPr="00283A83" w:rsidRDefault="000D55A1"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1994</w:t>
            </w:r>
          </w:p>
        </w:tc>
        <w:tc>
          <w:tcPr>
            <w:tcW w:w="726" w:type="dxa"/>
            <w:tcBorders>
              <w:top w:val="nil"/>
              <w:bottom w:val="single" w:sz="4" w:space="0" w:color="auto"/>
            </w:tcBorders>
            <w:shd w:val="clear" w:color="auto" w:fill="auto"/>
            <w:noWrap/>
            <w:vAlign w:val="bottom"/>
            <w:hideMark/>
          </w:tcPr>
          <w:p w:rsidR="000D55A1" w:rsidRPr="00283A83" w:rsidRDefault="000D55A1"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1998</w:t>
            </w:r>
          </w:p>
        </w:tc>
        <w:tc>
          <w:tcPr>
            <w:tcW w:w="726" w:type="dxa"/>
            <w:tcBorders>
              <w:top w:val="nil"/>
              <w:bottom w:val="single" w:sz="4" w:space="0" w:color="auto"/>
            </w:tcBorders>
            <w:shd w:val="clear" w:color="auto" w:fill="auto"/>
            <w:noWrap/>
            <w:vAlign w:val="bottom"/>
            <w:hideMark/>
          </w:tcPr>
          <w:p w:rsidR="000D55A1" w:rsidRPr="00283A83" w:rsidRDefault="000D55A1"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2001</w:t>
            </w:r>
          </w:p>
        </w:tc>
        <w:tc>
          <w:tcPr>
            <w:tcW w:w="726" w:type="dxa"/>
            <w:tcBorders>
              <w:top w:val="nil"/>
              <w:bottom w:val="single" w:sz="4" w:space="0" w:color="auto"/>
            </w:tcBorders>
            <w:shd w:val="clear" w:color="auto" w:fill="auto"/>
            <w:noWrap/>
            <w:vAlign w:val="bottom"/>
            <w:hideMark/>
          </w:tcPr>
          <w:p w:rsidR="000D55A1" w:rsidRPr="00283A83" w:rsidRDefault="000D55A1"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2003</w:t>
            </w:r>
          </w:p>
        </w:tc>
        <w:tc>
          <w:tcPr>
            <w:tcW w:w="726" w:type="dxa"/>
            <w:tcBorders>
              <w:top w:val="nil"/>
              <w:bottom w:val="single" w:sz="4" w:space="0" w:color="auto"/>
            </w:tcBorders>
            <w:shd w:val="clear" w:color="auto" w:fill="auto"/>
            <w:noWrap/>
            <w:vAlign w:val="bottom"/>
            <w:hideMark/>
          </w:tcPr>
          <w:p w:rsidR="000D55A1" w:rsidRPr="00283A83" w:rsidRDefault="000D55A1"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2004</w:t>
            </w:r>
          </w:p>
        </w:tc>
        <w:tc>
          <w:tcPr>
            <w:tcW w:w="726" w:type="dxa"/>
            <w:tcBorders>
              <w:top w:val="nil"/>
              <w:bottom w:val="single" w:sz="4" w:space="0" w:color="auto"/>
            </w:tcBorders>
            <w:shd w:val="clear" w:color="auto" w:fill="auto"/>
            <w:noWrap/>
            <w:vAlign w:val="bottom"/>
            <w:hideMark/>
          </w:tcPr>
          <w:p w:rsidR="000D55A1" w:rsidRPr="00283A83" w:rsidRDefault="000D55A1"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2007</w:t>
            </w:r>
          </w:p>
        </w:tc>
        <w:tc>
          <w:tcPr>
            <w:tcW w:w="726" w:type="dxa"/>
            <w:tcBorders>
              <w:top w:val="nil"/>
              <w:bottom w:val="single" w:sz="4" w:space="0" w:color="auto"/>
            </w:tcBorders>
            <w:shd w:val="clear" w:color="auto" w:fill="auto"/>
            <w:noWrap/>
            <w:vAlign w:val="bottom"/>
            <w:hideMark/>
          </w:tcPr>
          <w:p w:rsidR="000D55A1" w:rsidRPr="00283A83" w:rsidRDefault="000D55A1"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2012</w:t>
            </w:r>
          </w:p>
        </w:tc>
        <w:tc>
          <w:tcPr>
            <w:tcW w:w="726" w:type="dxa"/>
            <w:tcBorders>
              <w:top w:val="nil"/>
              <w:bottom w:val="single" w:sz="4" w:space="0" w:color="auto"/>
              <w:right w:val="single" w:sz="4" w:space="0" w:color="auto"/>
            </w:tcBorders>
            <w:shd w:val="clear" w:color="auto" w:fill="auto"/>
            <w:noWrap/>
            <w:vAlign w:val="bottom"/>
            <w:hideMark/>
          </w:tcPr>
          <w:p w:rsidR="000D55A1" w:rsidRPr="00283A83" w:rsidRDefault="000D55A1"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2014</w:t>
            </w:r>
          </w:p>
        </w:tc>
      </w:tr>
      <w:tr w:rsidR="00283A83" w:rsidRPr="00283A83" w:rsidTr="004B3FDA">
        <w:trPr>
          <w:trHeight w:val="288"/>
          <w:jc w:val="center"/>
        </w:trPr>
        <w:tc>
          <w:tcPr>
            <w:tcW w:w="2304" w:type="dxa"/>
            <w:tcBorders>
              <w:top w:val="single" w:sz="4" w:space="0" w:color="auto"/>
              <w:left w:val="single" w:sz="4" w:space="0" w:color="auto"/>
              <w:right w:val="single" w:sz="4" w:space="0" w:color="auto"/>
            </w:tcBorders>
            <w:shd w:val="clear" w:color="auto" w:fill="auto"/>
            <w:noWrap/>
            <w:vAlign w:val="bottom"/>
            <w:hideMark/>
          </w:tcPr>
          <w:p w:rsidR="00283A83" w:rsidRPr="00283A83" w:rsidRDefault="00283A83" w:rsidP="00460D04">
            <w:pPr>
              <w:spacing w:after="0" w:line="240" w:lineRule="auto"/>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Sector Formal</w:t>
            </w:r>
          </w:p>
        </w:tc>
        <w:tc>
          <w:tcPr>
            <w:tcW w:w="855" w:type="dxa"/>
            <w:tcBorders>
              <w:top w:val="single" w:sz="4" w:space="0" w:color="auto"/>
              <w:left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47,2%</w:t>
            </w:r>
          </w:p>
        </w:tc>
        <w:tc>
          <w:tcPr>
            <w:tcW w:w="726" w:type="dxa"/>
            <w:tcBorders>
              <w:top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44,8%</w:t>
            </w:r>
          </w:p>
        </w:tc>
        <w:tc>
          <w:tcPr>
            <w:tcW w:w="726" w:type="dxa"/>
            <w:tcBorders>
              <w:top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45,2%</w:t>
            </w:r>
          </w:p>
        </w:tc>
        <w:tc>
          <w:tcPr>
            <w:tcW w:w="726" w:type="dxa"/>
            <w:tcBorders>
              <w:top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47,9%</w:t>
            </w:r>
          </w:p>
        </w:tc>
        <w:tc>
          <w:tcPr>
            <w:tcW w:w="726" w:type="dxa"/>
            <w:tcBorders>
              <w:top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50,9%</w:t>
            </w:r>
          </w:p>
        </w:tc>
        <w:tc>
          <w:tcPr>
            <w:tcW w:w="726" w:type="dxa"/>
            <w:tcBorders>
              <w:top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47,2%</w:t>
            </w:r>
          </w:p>
        </w:tc>
        <w:tc>
          <w:tcPr>
            <w:tcW w:w="726" w:type="dxa"/>
            <w:tcBorders>
              <w:top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44,5%</w:t>
            </w:r>
          </w:p>
        </w:tc>
        <w:tc>
          <w:tcPr>
            <w:tcW w:w="726" w:type="dxa"/>
            <w:tcBorders>
              <w:top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46,8%</w:t>
            </w:r>
          </w:p>
        </w:tc>
        <w:tc>
          <w:tcPr>
            <w:tcW w:w="726" w:type="dxa"/>
            <w:tcBorders>
              <w:top w:val="single" w:sz="4" w:space="0" w:color="auto"/>
              <w:right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46,6%</w:t>
            </w:r>
          </w:p>
        </w:tc>
      </w:tr>
      <w:tr w:rsidR="00283A83" w:rsidRPr="00283A83" w:rsidTr="004B3FDA">
        <w:trPr>
          <w:trHeight w:val="288"/>
          <w:jc w:val="center"/>
        </w:trPr>
        <w:tc>
          <w:tcPr>
            <w:tcW w:w="2304" w:type="dxa"/>
            <w:tcBorders>
              <w:top w:val="nil"/>
              <w:left w:val="single" w:sz="4" w:space="0" w:color="auto"/>
              <w:right w:val="single" w:sz="4" w:space="0" w:color="auto"/>
            </w:tcBorders>
            <w:shd w:val="clear" w:color="auto" w:fill="auto"/>
            <w:noWrap/>
            <w:vAlign w:val="bottom"/>
            <w:hideMark/>
          </w:tcPr>
          <w:p w:rsidR="00283A83" w:rsidRPr="00283A83" w:rsidRDefault="00283A83" w:rsidP="00460D04">
            <w:pPr>
              <w:spacing w:after="0" w:line="240" w:lineRule="auto"/>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 xml:space="preserve">Asalariados </w:t>
            </w:r>
          </w:p>
        </w:tc>
        <w:tc>
          <w:tcPr>
            <w:tcW w:w="855" w:type="dxa"/>
            <w:tcBorders>
              <w:top w:val="nil"/>
              <w:left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43,8%</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42,0%</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41,9%</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44,3%</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51,5%</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47,6%</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44,8%</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46,9%</w:t>
            </w:r>
          </w:p>
        </w:tc>
        <w:tc>
          <w:tcPr>
            <w:tcW w:w="726" w:type="dxa"/>
            <w:tcBorders>
              <w:top w:val="nil"/>
              <w:right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46,8%</w:t>
            </w:r>
          </w:p>
        </w:tc>
      </w:tr>
      <w:tr w:rsidR="00283A83" w:rsidRPr="00283A83" w:rsidTr="004B3FDA">
        <w:trPr>
          <w:trHeight w:val="288"/>
          <w:jc w:val="center"/>
        </w:trPr>
        <w:tc>
          <w:tcPr>
            <w:tcW w:w="2304" w:type="dxa"/>
            <w:tcBorders>
              <w:top w:val="nil"/>
              <w:left w:val="single" w:sz="4" w:space="0" w:color="auto"/>
              <w:right w:val="single" w:sz="4" w:space="0" w:color="auto"/>
            </w:tcBorders>
            <w:shd w:val="clear" w:color="auto" w:fill="auto"/>
            <w:noWrap/>
            <w:vAlign w:val="bottom"/>
            <w:hideMark/>
          </w:tcPr>
          <w:p w:rsidR="00283A83" w:rsidRPr="00283A83" w:rsidRDefault="00283A83" w:rsidP="00460D04">
            <w:pPr>
              <w:spacing w:after="0" w:line="240" w:lineRule="auto"/>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No asalariados</w:t>
            </w:r>
          </w:p>
        </w:tc>
        <w:tc>
          <w:tcPr>
            <w:tcW w:w="855" w:type="dxa"/>
            <w:tcBorders>
              <w:top w:val="nil"/>
              <w:left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35,6%</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29,4%</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27,0%</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37,1%</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41,6%</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34,1%</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29,5%</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33,6%</w:t>
            </w:r>
          </w:p>
        </w:tc>
        <w:tc>
          <w:tcPr>
            <w:tcW w:w="726" w:type="dxa"/>
            <w:tcBorders>
              <w:top w:val="nil"/>
              <w:right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31,3%</w:t>
            </w:r>
          </w:p>
        </w:tc>
      </w:tr>
      <w:tr w:rsidR="00283A83" w:rsidRPr="00283A83" w:rsidTr="004B3FDA">
        <w:trPr>
          <w:trHeight w:val="288"/>
          <w:jc w:val="center"/>
        </w:trPr>
        <w:tc>
          <w:tcPr>
            <w:tcW w:w="2304" w:type="dxa"/>
            <w:tcBorders>
              <w:top w:val="nil"/>
              <w:left w:val="single" w:sz="4" w:space="0" w:color="auto"/>
              <w:right w:val="single" w:sz="4" w:space="0" w:color="auto"/>
            </w:tcBorders>
            <w:shd w:val="clear" w:color="auto" w:fill="auto"/>
            <w:noWrap/>
            <w:vAlign w:val="bottom"/>
            <w:hideMark/>
          </w:tcPr>
          <w:p w:rsidR="00283A83" w:rsidRPr="00283A83" w:rsidRDefault="00283A83" w:rsidP="00460D04">
            <w:pPr>
              <w:spacing w:after="0" w:line="240" w:lineRule="auto"/>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 xml:space="preserve">Sector </w:t>
            </w:r>
            <w:proofErr w:type="spellStart"/>
            <w:r w:rsidRPr="00283A83">
              <w:rPr>
                <w:rFonts w:ascii="Times New Roman" w:eastAsia="Times New Roman" w:hAnsi="Times New Roman" w:cs="Times New Roman"/>
                <w:b/>
                <w:color w:val="000000"/>
                <w:lang w:eastAsia="es-AR"/>
              </w:rPr>
              <w:t>publico</w:t>
            </w:r>
            <w:proofErr w:type="spellEnd"/>
            <w:r w:rsidR="00402901">
              <w:rPr>
                <w:rFonts w:ascii="Times New Roman" w:eastAsia="Times New Roman" w:hAnsi="Times New Roman" w:cs="Times New Roman"/>
                <w:b/>
                <w:color w:val="000000"/>
                <w:lang w:eastAsia="es-AR"/>
              </w:rPr>
              <w:t xml:space="preserve"> (</w:t>
            </w:r>
            <w:r w:rsidRPr="00283A83">
              <w:rPr>
                <w:rFonts w:ascii="Times New Roman" w:eastAsia="Times New Roman" w:hAnsi="Times New Roman" w:cs="Times New Roman"/>
                <w:b/>
                <w:color w:val="000000"/>
                <w:lang w:eastAsia="es-AR"/>
              </w:rPr>
              <w:t>*</w:t>
            </w:r>
            <w:r w:rsidR="00402901">
              <w:rPr>
                <w:rFonts w:ascii="Times New Roman" w:eastAsia="Times New Roman" w:hAnsi="Times New Roman" w:cs="Times New Roman"/>
                <w:b/>
                <w:color w:val="000000"/>
                <w:lang w:eastAsia="es-AR"/>
              </w:rPr>
              <w:t>)</w:t>
            </w:r>
          </w:p>
        </w:tc>
        <w:tc>
          <w:tcPr>
            <w:tcW w:w="855" w:type="dxa"/>
            <w:tcBorders>
              <w:top w:val="nil"/>
              <w:left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52,4%</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51,2%</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53,6%</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54,7%</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60,4%</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57,5%</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54,1%</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48,5%</w:t>
            </w:r>
          </w:p>
        </w:tc>
        <w:tc>
          <w:tcPr>
            <w:tcW w:w="726" w:type="dxa"/>
            <w:tcBorders>
              <w:top w:val="nil"/>
              <w:right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45,4%</w:t>
            </w:r>
          </w:p>
        </w:tc>
      </w:tr>
      <w:tr w:rsidR="00283A83" w:rsidRPr="00283A83" w:rsidTr="004B3FDA">
        <w:trPr>
          <w:trHeight w:val="288"/>
          <w:jc w:val="center"/>
        </w:trPr>
        <w:tc>
          <w:tcPr>
            <w:tcW w:w="2304" w:type="dxa"/>
            <w:tcBorders>
              <w:top w:val="nil"/>
              <w:left w:val="single" w:sz="4" w:space="0" w:color="auto"/>
              <w:right w:val="single" w:sz="4" w:space="0" w:color="auto"/>
            </w:tcBorders>
            <w:shd w:val="clear" w:color="auto" w:fill="auto"/>
            <w:noWrap/>
            <w:vAlign w:val="bottom"/>
            <w:hideMark/>
          </w:tcPr>
          <w:p w:rsidR="00283A83" w:rsidRPr="00283A83" w:rsidRDefault="00283A83" w:rsidP="00460D04">
            <w:pPr>
              <w:spacing w:after="0" w:line="240" w:lineRule="auto"/>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Sector Micro Informal</w:t>
            </w:r>
          </w:p>
        </w:tc>
        <w:tc>
          <w:tcPr>
            <w:tcW w:w="855" w:type="dxa"/>
            <w:tcBorders>
              <w:top w:val="nil"/>
              <w:left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69,3%</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67,4%</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69,4%</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78,3%</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82,9%</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81,5%</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79,2%</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80,6%</w:t>
            </w:r>
          </w:p>
        </w:tc>
        <w:tc>
          <w:tcPr>
            <w:tcW w:w="726" w:type="dxa"/>
            <w:tcBorders>
              <w:top w:val="nil"/>
              <w:right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79,7%</w:t>
            </w:r>
          </w:p>
        </w:tc>
      </w:tr>
      <w:tr w:rsidR="00283A83" w:rsidRPr="00283A83" w:rsidTr="004B3FDA">
        <w:trPr>
          <w:trHeight w:val="288"/>
          <w:jc w:val="center"/>
        </w:trPr>
        <w:tc>
          <w:tcPr>
            <w:tcW w:w="2304" w:type="dxa"/>
            <w:tcBorders>
              <w:top w:val="nil"/>
              <w:left w:val="single" w:sz="4" w:space="0" w:color="auto"/>
              <w:right w:val="single" w:sz="4" w:space="0" w:color="auto"/>
            </w:tcBorders>
            <w:shd w:val="clear" w:color="auto" w:fill="auto"/>
            <w:noWrap/>
            <w:vAlign w:val="bottom"/>
            <w:hideMark/>
          </w:tcPr>
          <w:p w:rsidR="00283A83" w:rsidRPr="00283A83" w:rsidRDefault="00283A83" w:rsidP="00460D04">
            <w:pPr>
              <w:spacing w:after="0" w:line="240" w:lineRule="auto"/>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 xml:space="preserve">Asalariados </w:t>
            </w:r>
          </w:p>
        </w:tc>
        <w:tc>
          <w:tcPr>
            <w:tcW w:w="855" w:type="dxa"/>
            <w:tcBorders>
              <w:top w:val="nil"/>
              <w:left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71,4%</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70,7%</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72,5%</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80,9%</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84,0%</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81,9%</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81,2%</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82,3%</w:t>
            </w:r>
          </w:p>
        </w:tc>
        <w:tc>
          <w:tcPr>
            <w:tcW w:w="726" w:type="dxa"/>
            <w:tcBorders>
              <w:top w:val="nil"/>
              <w:right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83,1%</w:t>
            </w:r>
          </w:p>
        </w:tc>
      </w:tr>
      <w:tr w:rsidR="00283A83" w:rsidRPr="00283A83" w:rsidTr="004B3FDA">
        <w:trPr>
          <w:trHeight w:val="288"/>
          <w:jc w:val="center"/>
        </w:trPr>
        <w:tc>
          <w:tcPr>
            <w:tcW w:w="2304" w:type="dxa"/>
            <w:tcBorders>
              <w:top w:val="nil"/>
              <w:left w:val="single" w:sz="4" w:space="0" w:color="auto"/>
              <w:right w:val="single" w:sz="4" w:space="0" w:color="auto"/>
            </w:tcBorders>
            <w:shd w:val="clear" w:color="auto" w:fill="auto"/>
            <w:noWrap/>
            <w:vAlign w:val="bottom"/>
            <w:hideMark/>
          </w:tcPr>
          <w:p w:rsidR="00283A83" w:rsidRPr="00283A83" w:rsidRDefault="00283A83" w:rsidP="00460D04">
            <w:pPr>
              <w:spacing w:after="0" w:line="240" w:lineRule="auto"/>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No asalariados</w:t>
            </w:r>
          </w:p>
        </w:tc>
        <w:tc>
          <w:tcPr>
            <w:tcW w:w="855" w:type="dxa"/>
            <w:tcBorders>
              <w:top w:val="nil"/>
              <w:left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65,3%</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62,1%</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65,4%</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74,3%</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81,1%</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81,0%</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75,7%</w:t>
            </w:r>
          </w:p>
        </w:tc>
        <w:tc>
          <w:tcPr>
            <w:tcW w:w="726" w:type="dxa"/>
            <w:tcBorders>
              <w:top w:val="nil"/>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77,1%</w:t>
            </w:r>
          </w:p>
        </w:tc>
        <w:tc>
          <w:tcPr>
            <w:tcW w:w="726" w:type="dxa"/>
            <w:tcBorders>
              <w:top w:val="nil"/>
              <w:right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color w:val="000000"/>
                <w:lang w:eastAsia="es-AR"/>
              </w:rPr>
            </w:pPr>
            <w:r w:rsidRPr="00283A83">
              <w:rPr>
                <w:rFonts w:ascii="Times New Roman" w:eastAsia="Times New Roman" w:hAnsi="Times New Roman" w:cs="Times New Roman"/>
                <w:color w:val="000000"/>
                <w:lang w:eastAsia="es-AR"/>
              </w:rPr>
              <w:t>73,1%</w:t>
            </w:r>
          </w:p>
        </w:tc>
      </w:tr>
      <w:tr w:rsidR="00283A83" w:rsidRPr="00283A83" w:rsidTr="004B3FDA">
        <w:trPr>
          <w:trHeight w:val="288"/>
          <w:jc w:val="center"/>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283A83" w:rsidRPr="00283A83" w:rsidRDefault="00283A83" w:rsidP="00460D04">
            <w:pPr>
              <w:spacing w:after="0" w:line="240" w:lineRule="auto"/>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Total de ocupados</w:t>
            </w:r>
          </w:p>
        </w:tc>
        <w:tc>
          <w:tcPr>
            <w:tcW w:w="855" w:type="dxa"/>
            <w:tcBorders>
              <w:top w:val="nil"/>
              <w:left w:val="single" w:sz="4" w:space="0" w:color="auto"/>
              <w:bottom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57,8%</w:t>
            </w:r>
          </w:p>
        </w:tc>
        <w:tc>
          <w:tcPr>
            <w:tcW w:w="726" w:type="dxa"/>
            <w:tcBorders>
              <w:top w:val="nil"/>
              <w:bottom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54,7%</w:t>
            </w:r>
          </w:p>
        </w:tc>
        <w:tc>
          <w:tcPr>
            <w:tcW w:w="726" w:type="dxa"/>
            <w:tcBorders>
              <w:top w:val="nil"/>
              <w:bottom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55,5%</w:t>
            </w:r>
          </w:p>
        </w:tc>
        <w:tc>
          <w:tcPr>
            <w:tcW w:w="726" w:type="dxa"/>
            <w:tcBorders>
              <w:top w:val="nil"/>
              <w:bottom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61,3%</w:t>
            </w:r>
          </w:p>
        </w:tc>
        <w:tc>
          <w:tcPr>
            <w:tcW w:w="726" w:type="dxa"/>
            <w:tcBorders>
              <w:top w:val="nil"/>
              <w:bottom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67,5%</w:t>
            </w:r>
          </w:p>
        </w:tc>
        <w:tc>
          <w:tcPr>
            <w:tcW w:w="726" w:type="dxa"/>
            <w:tcBorders>
              <w:top w:val="nil"/>
              <w:bottom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63,2%</w:t>
            </w:r>
          </w:p>
        </w:tc>
        <w:tc>
          <w:tcPr>
            <w:tcW w:w="726" w:type="dxa"/>
            <w:tcBorders>
              <w:top w:val="nil"/>
              <w:bottom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59,8%</w:t>
            </w:r>
          </w:p>
        </w:tc>
        <w:tc>
          <w:tcPr>
            <w:tcW w:w="726" w:type="dxa"/>
            <w:tcBorders>
              <w:top w:val="nil"/>
              <w:bottom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60,8%</w:t>
            </w:r>
          </w:p>
        </w:tc>
        <w:tc>
          <w:tcPr>
            <w:tcW w:w="726" w:type="dxa"/>
            <w:tcBorders>
              <w:top w:val="nil"/>
              <w:bottom w:val="single" w:sz="4" w:space="0" w:color="auto"/>
              <w:right w:val="single" w:sz="4" w:space="0" w:color="auto"/>
            </w:tcBorders>
            <w:shd w:val="clear" w:color="auto" w:fill="auto"/>
            <w:noWrap/>
            <w:vAlign w:val="bottom"/>
            <w:hideMark/>
          </w:tcPr>
          <w:p w:rsidR="00283A83" w:rsidRPr="00283A83" w:rsidRDefault="00283A83" w:rsidP="00283A83">
            <w:pPr>
              <w:spacing w:after="0" w:line="240" w:lineRule="auto"/>
              <w:jc w:val="center"/>
              <w:rPr>
                <w:rFonts w:ascii="Times New Roman" w:eastAsia="Times New Roman" w:hAnsi="Times New Roman" w:cs="Times New Roman"/>
                <w:b/>
                <w:color w:val="000000"/>
                <w:lang w:eastAsia="es-AR"/>
              </w:rPr>
            </w:pPr>
            <w:r w:rsidRPr="00283A83">
              <w:rPr>
                <w:rFonts w:ascii="Times New Roman" w:eastAsia="Times New Roman" w:hAnsi="Times New Roman" w:cs="Times New Roman"/>
                <w:b/>
                <w:color w:val="000000"/>
                <w:lang w:eastAsia="es-AR"/>
              </w:rPr>
              <w:t>60,3%</w:t>
            </w:r>
          </w:p>
        </w:tc>
      </w:tr>
      <w:tr w:rsidR="00283A83" w:rsidRPr="00283A83" w:rsidTr="004B3FDA">
        <w:trPr>
          <w:trHeight w:val="576"/>
          <w:jc w:val="center"/>
        </w:trPr>
        <w:tc>
          <w:tcPr>
            <w:tcW w:w="8967" w:type="dxa"/>
            <w:gridSpan w:val="10"/>
            <w:tcBorders>
              <w:top w:val="single" w:sz="4" w:space="0" w:color="auto"/>
              <w:left w:val="nil"/>
              <w:bottom w:val="nil"/>
              <w:right w:val="nil"/>
            </w:tcBorders>
            <w:shd w:val="clear" w:color="auto" w:fill="auto"/>
            <w:vAlign w:val="bottom"/>
            <w:hideMark/>
          </w:tcPr>
          <w:p w:rsidR="000D55A1" w:rsidRPr="00DB54A4" w:rsidRDefault="00402901" w:rsidP="000D55A1">
            <w:pPr>
              <w:spacing w:after="0" w:line="240" w:lineRule="auto"/>
              <w:jc w:val="both"/>
              <w:rPr>
                <w:rFonts w:ascii="Times New Roman" w:eastAsia="Times New Roman" w:hAnsi="Times New Roman" w:cs="Times New Roman"/>
                <w:color w:val="000000"/>
                <w:sz w:val="18"/>
                <w:szCs w:val="20"/>
                <w:lang w:eastAsia="es-AR"/>
              </w:rPr>
            </w:pPr>
            <w:r>
              <w:rPr>
                <w:rFonts w:ascii="Times New Roman" w:eastAsia="Times New Roman" w:hAnsi="Times New Roman" w:cs="Times New Roman"/>
                <w:color w:val="000000"/>
                <w:sz w:val="18"/>
                <w:szCs w:val="20"/>
                <w:lang w:eastAsia="es-AR"/>
              </w:rPr>
              <w:t>(</w:t>
            </w:r>
            <w:r w:rsidR="000D55A1" w:rsidRPr="00DB54A4">
              <w:rPr>
                <w:rFonts w:ascii="Times New Roman" w:eastAsia="Times New Roman" w:hAnsi="Times New Roman" w:cs="Times New Roman"/>
                <w:color w:val="000000"/>
                <w:sz w:val="18"/>
                <w:szCs w:val="20"/>
                <w:lang w:eastAsia="es-AR"/>
              </w:rPr>
              <w:t>*</w:t>
            </w:r>
            <w:r>
              <w:rPr>
                <w:rFonts w:ascii="Times New Roman" w:eastAsia="Times New Roman" w:hAnsi="Times New Roman" w:cs="Times New Roman"/>
                <w:color w:val="000000"/>
                <w:sz w:val="18"/>
                <w:szCs w:val="20"/>
                <w:lang w:eastAsia="es-AR"/>
              </w:rPr>
              <w:t>)</w:t>
            </w:r>
            <w:r w:rsidR="000D55A1" w:rsidRPr="00DB54A4">
              <w:rPr>
                <w:rFonts w:ascii="Times New Roman" w:eastAsia="Times New Roman" w:hAnsi="Times New Roman" w:cs="Times New Roman"/>
                <w:sz w:val="18"/>
                <w:szCs w:val="20"/>
                <w:lang w:val="es-ES" w:eastAsia="es-ES"/>
              </w:rPr>
              <w:t xml:space="preserve"> El sector público excluye el empleo público de asistencia.</w:t>
            </w:r>
          </w:p>
          <w:p w:rsidR="000D55A1" w:rsidRPr="002F6FD2" w:rsidRDefault="00283A83" w:rsidP="000D55A1">
            <w:pPr>
              <w:spacing w:after="0" w:line="240" w:lineRule="auto"/>
              <w:jc w:val="both"/>
              <w:rPr>
                <w:rFonts w:ascii="Times New Roman" w:eastAsia="Times New Roman" w:hAnsi="Times New Roman" w:cs="Times New Roman"/>
                <w:color w:val="000000"/>
                <w:sz w:val="18"/>
                <w:szCs w:val="20"/>
                <w:lang w:eastAsia="es-AR"/>
              </w:rPr>
            </w:pPr>
            <w:r w:rsidRPr="00DB54A4">
              <w:rPr>
                <w:rFonts w:ascii="Times New Roman" w:eastAsia="Times New Roman" w:hAnsi="Times New Roman" w:cs="Times New Roman"/>
                <w:color w:val="000000"/>
                <w:sz w:val="18"/>
                <w:szCs w:val="20"/>
                <w:lang w:eastAsia="es-AR"/>
              </w:rPr>
              <w:t>Fuente: Programa Cambio Estructural y Desigualdad Social, IIGG-FCS-UBA, en base a datos de la EPH, INDEC</w:t>
            </w:r>
            <w:r w:rsidR="000D55A1" w:rsidRPr="00DB54A4">
              <w:rPr>
                <w:rFonts w:ascii="Times New Roman" w:eastAsia="Times New Roman" w:hAnsi="Times New Roman" w:cs="Times New Roman"/>
                <w:color w:val="000000"/>
                <w:sz w:val="18"/>
                <w:szCs w:val="20"/>
                <w:lang w:eastAsia="es-AR"/>
              </w:rPr>
              <w:t xml:space="preserve"> </w:t>
            </w:r>
            <w:r w:rsidRPr="00DB54A4">
              <w:rPr>
                <w:rFonts w:ascii="Times New Roman" w:eastAsia="Times New Roman" w:hAnsi="Times New Roman" w:cs="Times New Roman"/>
                <w:color w:val="000000"/>
                <w:sz w:val="18"/>
                <w:szCs w:val="20"/>
                <w:lang w:eastAsia="es-AR"/>
              </w:rPr>
              <w:t>(GBA, onda de Octubre 1992, 1994, 1998, 2001 empalme con segundo semest</w:t>
            </w:r>
            <w:r w:rsidR="000D55A1" w:rsidRPr="00DB54A4">
              <w:rPr>
                <w:rFonts w:ascii="Times New Roman" w:eastAsia="Times New Roman" w:hAnsi="Times New Roman" w:cs="Times New Roman"/>
                <w:color w:val="000000"/>
                <w:sz w:val="18"/>
                <w:szCs w:val="20"/>
                <w:lang w:eastAsia="es-AR"/>
              </w:rPr>
              <w:t xml:space="preserve">re 2003. Cuarto trimestre 2004 </w:t>
            </w:r>
            <w:r w:rsidRPr="00DB54A4">
              <w:rPr>
                <w:rFonts w:ascii="Times New Roman" w:eastAsia="Times New Roman" w:hAnsi="Times New Roman" w:cs="Times New Roman"/>
                <w:color w:val="000000"/>
                <w:sz w:val="18"/>
                <w:szCs w:val="20"/>
                <w:lang w:eastAsia="es-AR"/>
              </w:rPr>
              <w:t>2007, 2012 y 2014)</w:t>
            </w:r>
          </w:p>
        </w:tc>
      </w:tr>
    </w:tbl>
    <w:p w:rsidR="00F86BDC" w:rsidRDefault="00F86BDC" w:rsidP="004B3FDA">
      <w:pPr>
        <w:pStyle w:val="Default"/>
        <w:spacing w:line="360" w:lineRule="auto"/>
        <w:ind w:firstLine="340"/>
        <w:jc w:val="both"/>
        <w:rPr>
          <w:rFonts w:ascii="Times New Roman" w:hAnsi="Times New Roman" w:cs="Times New Roman"/>
        </w:rPr>
      </w:pPr>
    </w:p>
    <w:p w:rsidR="00F86BDC" w:rsidRDefault="00F86BDC" w:rsidP="004B3FDA">
      <w:pPr>
        <w:pStyle w:val="Default"/>
        <w:spacing w:line="360" w:lineRule="auto"/>
        <w:ind w:firstLine="340"/>
        <w:jc w:val="both"/>
        <w:rPr>
          <w:rFonts w:ascii="Times New Roman" w:hAnsi="Times New Roman" w:cs="Times New Roman"/>
        </w:rPr>
      </w:pPr>
    </w:p>
    <w:p w:rsidR="00323AB5" w:rsidRDefault="00FF4D7C" w:rsidP="004B3FDA">
      <w:pPr>
        <w:pStyle w:val="Default"/>
        <w:spacing w:line="360" w:lineRule="auto"/>
        <w:ind w:firstLine="340"/>
        <w:jc w:val="both"/>
        <w:rPr>
          <w:rFonts w:ascii="Times New Roman" w:hAnsi="Times New Roman" w:cs="Times New Roman"/>
        </w:rPr>
      </w:pPr>
      <w:r>
        <w:rPr>
          <w:rFonts w:ascii="Times New Roman" w:hAnsi="Times New Roman" w:cs="Times New Roman"/>
        </w:rPr>
        <w:lastRenderedPageBreak/>
        <w:t>El comportamiento de la participación del segmento no regulado en el sector público</w:t>
      </w:r>
      <w:r w:rsidR="006F0B2C">
        <w:rPr>
          <w:rFonts w:ascii="Times New Roman" w:hAnsi="Times New Roman" w:cs="Times New Roman"/>
        </w:rPr>
        <w:t xml:space="preserve"> durante el último periodo en cuestión</w:t>
      </w:r>
      <w:r>
        <w:rPr>
          <w:rFonts w:ascii="Times New Roman" w:hAnsi="Times New Roman" w:cs="Times New Roman"/>
        </w:rPr>
        <w:t xml:space="preserve">, </w:t>
      </w:r>
      <w:r w:rsidR="006136FB">
        <w:rPr>
          <w:rFonts w:ascii="Times New Roman" w:hAnsi="Times New Roman" w:cs="Times New Roman"/>
        </w:rPr>
        <w:t xml:space="preserve">responde a </w:t>
      </w:r>
      <w:r w:rsidR="00062011">
        <w:rPr>
          <w:rFonts w:ascii="Times New Roman" w:hAnsi="Times New Roman" w:cs="Times New Roman"/>
        </w:rPr>
        <w:t xml:space="preserve">algunas </w:t>
      </w:r>
      <w:r w:rsidR="006136FB">
        <w:rPr>
          <w:rFonts w:ascii="Times New Roman" w:hAnsi="Times New Roman" w:cs="Times New Roman"/>
        </w:rPr>
        <w:t xml:space="preserve">cuestiones que es necesario clarificar. </w:t>
      </w:r>
      <w:r w:rsidR="00062011">
        <w:rPr>
          <w:rFonts w:ascii="Times New Roman" w:hAnsi="Times New Roman" w:cs="Times New Roman"/>
        </w:rPr>
        <w:t>El</w:t>
      </w:r>
      <w:r w:rsidR="006136FB" w:rsidRPr="00FB314B">
        <w:rPr>
          <w:rFonts w:ascii="Times New Roman" w:hAnsi="Times New Roman" w:cs="Times New Roman"/>
        </w:rPr>
        <w:t xml:space="preserve"> </w:t>
      </w:r>
      <w:r w:rsidR="006136FB">
        <w:rPr>
          <w:rFonts w:ascii="Times New Roman" w:hAnsi="Times New Roman" w:cs="Times New Roman"/>
        </w:rPr>
        <w:t xml:space="preserve">régimen </w:t>
      </w:r>
      <w:proofErr w:type="spellStart"/>
      <w:r w:rsidR="006136FB">
        <w:rPr>
          <w:rFonts w:ascii="Times New Roman" w:hAnsi="Times New Roman" w:cs="Times New Roman"/>
        </w:rPr>
        <w:t>neodesarrollista</w:t>
      </w:r>
      <w:proofErr w:type="spellEnd"/>
      <w:r w:rsidR="006136FB" w:rsidRPr="00FB314B">
        <w:rPr>
          <w:rFonts w:ascii="Times New Roman" w:hAnsi="Times New Roman" w:cs="Times New Roman"/>
        </w:rPr>
        <w:t xml:space="preserve"> de la post-converti</w:t>
      </w:r>
      <w:r w:rsidR="006136FB">
        <w:rPr>
          <w:rFonts w:ascii="Times New Roman" w:hAnsi="Times New Roman" w:cs="Times New Roman"/>
        </w:rPr>
        <w:t>bilidad promovió la creaci</w:t>
      </w:r>
      <w:r w:rsidR="000D55A1">
        <w:rPr>
          <w:rFonts w:ascii="Times New Roman" w:hAnsi="Times New Roman" w:cs="Times New Roman"/>
        </w:rPr>
        <w:t xml:space="preserve">ón sostenida del empleo </w:t>
      </w:r>
      <w:r w:rsidR="006136FB">
        <w:rPr>
          <w:rFonts w:ascii="Times New Roman" w:hAnsi="Times New Roman" w:cs="Times New Roman"/>
        </w:rPr>
        <w:t>público en todos los niveles (nacional, provincial y municipal)</w:t>
      </w:r>
      <w:r w:rsidR="002F6FD2">
        <w:rPr>
          <w:rFonts w:ascii="Times New Roman" w:hAnsi="Times New Roman" w:cs="Times New Roman"/>
        </w:rPr>
        <w:t xml:space="preserve"> </w:t>
      </w:r>
      <w:r w:rsidR="002C4467">
        <w:rPr>
          <w:rFonts w:ascii="Times New Roman" w:hAnsi="Times New Roman" w:cs="Times New Roman"/>
        </w:rPr>
        <w:t xml:space="preserve">que </w:t>
      </w:r>
      <w:r w:rsidR="006136FB">
        <w:rPr>
          <w:rFonts w:ascii="Times New Roman" w:hAnsi="Times New Roman" w:cs="Times New Roman"/>
        </w:rPr>
        <w:t xml:space="preserve">implicó la disminución del trabajo no registrado (Palomino 2007, </w:t>
      </w:r>
      <w:proofErr w:type="spellStart"/>
      <w:r w:rsidR="006136FB">
        <w:rPr>
          <w:rFonts w:ascii="Times New Roman" w:hAnsi="Times New Roman" w:cs="Times New Roman"/>
        </w:rPr>
        <w:t>Neffa</w:t>
      </w:r>
      <w:proofErr w:type="spellEnd"/>
      <w:r w:rsidR="006136FB">
        <w:rPr>
          <w:rFonts w:ascii="Times New Roman" w:hAnsi="Times New Roman" w:cs="Times New Roman"/>
        </w:rPr>
        <w:t xml:space="preserve"> 2012).</w:t>
      </w:r>
      <w:r w:rsidR="00BE6388">
        <w:rPr>
          <w:rFonts w:ascii="Times New Roman" w:hAnsi="Times New Roman" w:cs="Times New Roman"/>
        </w:rPr>
        <w:t xml:space="preserve"> </w:t>
      </w:r>
      <w:r w:rsidR="002C4467">
        <w:rPr>
          <w:rFonts w:ascii="Times New Roman" w:hAnsi="Times New Roman" w:cs="Times New Roman"/>
        </w:rPr>
        <w:t>Ahora bien, e</w:t>
      </w:r>
      <w:r w:rsidR="002A675B" w:rsidRPr="002A675B">
        <w:rPr>
          <w:rFonts w:ascii="Times New Roman" w:hAnsi="Times New Roman" w:cs="Times New Roman"/>
        </w:rPr>
        <w:t>l Estado en Argentina, a nivel nacional, tiene diferentes maneras de contratar personal, de acuerdo a lo establecido en la </w:t>
      </w:r>
      <w:hyperlink r:id="rId13" w:history="1">
        <w:r w:rsidR="002A675B" w:rsidRPr="002A675B">
          <w:rPr>
            <w:rFonts w:ascii="Times New Roman" w:hAnsi="Times New Roman" w:cs="Times New Roman"/>
          </w:rPr>
          <w:t>Ley Marco de Regulación de Empleo Público Nacional</w:t>
        </w:r>
      </w:hyperlink>
      <w:r w:rsidR="002A675B">
        <w:rPr>
          <w:rFonts w:ascii="Times New Roman" w:hAnsi="Times New Roman" w:cs="Times New Roman"/>
        </w:rPr>
        <w:t xml:space="preserve"> </w:t>
      </w:r>
      <w:r w:rsidR="002A675B" w:rsidRPr="002A675B">
        <w:rPr>
          <w:rFonts w:ascii="Times New Roman" w:hAnsi="Times New Roman" w:cs="Times New Roman"/>
        </w:rPr>
        <w:t>(Ley 25.164</w:t>
      </w:r>
      <w:r w:rsidR="002A675B">
        <w:rPr>
          <w:rFonts w:ascii="Times New Roman" w:hAnsi="Times New Roman" w:cs="Times New Roman"/>
        </w:rPr>
        <w:t xml:space="preserve"> de 1999</w:t>
      </w:r>
      <w:r w:rsidR="002A675B" w:rsidRPr="002A675B">
        <w:rPr>
          <w:rFonts w:ascii="Times New Roman" w:hAnsi="Times New Roman" w:cs="Times New Roman"/>
        </w:rPr>
        <w:t>)</w:t>
      </w:r>
      <w:r w:rsidR="002A675B">
        <w:rPr>
          <w:rFonts w:ascii="Times New Roman" w:hAnsi="Times New Roman" w:cs="Times New Roman"/>
        </w:rPr>
        <w:t>.</w:t>
      </w:r>
      <w:r w:rsidR="002A675B" w:rsidRPr="002A675B">
        <w:rPr>
          <w:rFonts w:ascii="Times New Roman" w:hAnsi="Times New Roman" w:cs="Times New Roman"/>
        </w:rPr>
        <w:t xml:space="preserve"> Algunas de ellas son: el </w:t>
      </w:r>
      <w:r w:rsidR="002A675B" w:rsidRPr="001D7BD7">
        <w:rPr>
          <w:rFonts w:ascii="Times New Roman" w:hAnsi="Times New Roman" w:cs="Times New Roman"/>
        </w:rPr>
        <w:t>régimen de estabilidad</w:t>
      </w:r>
      <w:r w:rsidR="001D7BD7" w:rsidRPr="001D7BD7">
        <w:rPr>
          <w:rFonts w:ascii="Times New Roman" w:hAnsi="Times New Roman" w:cs="Times New Roman"/>
        </w:rPr>
        <w:t xml:space="preserve"> (planta permanente)</w:t>
      </w:r>
      <w:r w:rsidR="007B2614">
        <w:rPr>
          <w:rFonts w:ascii="Times New Roman" w:hAnsi="Times New Roman" w:cs="Times New Roman"/>
        </w:rPr>
        <w:t xml:space="preserve"> y </w:t>
      </w:r>
      <w:r w:rsidR="002A675B" w:rsidRPr="001D7BD7">
        <w:rPr>
          <w:rFonts w:ascii="Times New Roman" w:hAnsi="Times New Roman" w:cs="Times New Roman"/>
        </w:rPr>
        <w:t>de contrataciones por tiempo determinado</w:t>
      </w:r>
      <w:r w:rsidR="00BE6388">
        <w:rPr>
          <w:rFonts w:ascii="Times New Roman" w:hAnsi="Times New Roman" w:cs="Times New Roman"/>
        </w:rPr>
        <w:t xml:space="preserve"> (planta transitoria, quienes</w:t>
      </w:r>
      <w:r w:rsidR="001D7BD7" w:rsidRPr="001D7BD7">
        <w:rPr>
          <w:rFonts w:ascii="Times New Roman" w:hAnsi="Times New Roman" w:cs="Times New Roman"/>
        </w:rPr>
        <w:t xml:space="preserve"> sólo pueden representar un porcentaje de los empleados fijado por el convenio colectivo)</w:t>
      </w:r>
      <w:r w:rsidR="002A675B" w:rsidRPr="002A675B">
        <w:rPr>
          <w:rFonts w:ascii="Times New Roman" w:hAnsi="Times New Roman" w:cs="Times New Roman"/>
        </w:rPr>
        <w:t>.</w:t>
      </w:r>
      <w:r w:rsidR="002A675B">
        <w:rPr>
          <w:rFonts w:ascii="Times New Roman" w:hAnsi="Times New Roman" w:cs="Times New Roman"/>
        </w:rPr>
        <w:t xml:space="preserve"> Ahora bien, en la práctica </w:t>
      </w:r>
      <w:r w:rsidR="002A675B" w:rsidRPr="002A675B">
        <w:rPr>
          <w:rFonts w:ascii="Times New Roman" w:hAnsi="Times New Roman" w:cs="Times New Roman"/>
        </w:rPr>
        <w:t xml:space="preserve">existen otras figuras, aunque no están en esta ley, como los </w:t>
      </w:r>
      <w:proofErr w:type="spellStart"/>
      <w:r w:rsidR="002A675B" w:rsidRPr="002A675B">
        <w:rPr>
          <w:rFonts w:ascii="Times New Roman" w:hAnsi="Times New Roman" w:cs="Times New Roman"/>
        </w:rPr>
        <w:t>monotributistas</w:t>
      </w:r>
      <w:proofErr w:type="spellEnd"/>
      <w:r w:rsidR="00062011" w:rsidRPr="002C4467">
        <w:rPr>
          <w:rStyle w:val="Refdenotaalpie"/>
          <w:rFonts w:ascii="Times New Roman" w:hAnsi="Times New Roman" w:cs="Times New Roman"/>
        </w:rPr>
        <w:footnoteReference w:id="14"/>
      </w:r>
      <w:r w:rsidR="00323AB5">
        <w:rPr>
          <w:rFonts w:ascii="Times New Roman" w:hAnsi="Times New Roman" w:cs="Times New Roman"/>
        </w:rPr>
        <w:t>, denominados “contratados”</w:t>
      </w:r>
      <w:r w:rsidR="002A675B">
        <w:rPr>
          <w:rFonts w:ascii="Times New Roman" w:hAnsi="Times New Roman" w:cs="Times New Roman"/>
        </w:rPr>
        <w:t xml:space="preserve">. </w:t>
      </w:r>
      <w:r w:rsidR="00556F7A">
        <w:rPr>
          <w:rFonts w:ascii="Times New Roman" w:hAnsi="Times New Roman" w:cs="Times New Roman"/>
        </w:rPr>
        <w:t>L</w:t>
      </w:r>
      <w:r w:rsidR="00323AB5" w:rsidRPr="00323AB5">
        <w:rPr>
          <w:rFonts w:ascii="Times New Roman" w:hAnsi="Times New Roman" w:cs="Times New Roman"/>
        </w:rPr>
        <w:t>os trabajadores en planta transitoria forman parte de un convenio colectivo de trabajo, por lo que gozan de vacaciones</w:t>
      </w:r>
      <w:r w:rsidR="00556F7A">
        <w:rPr>
          <w:rFonts w:ascii="Times New Roman" w:hAnsi="Times New Roman" w:cs="Times New Roman"/>
        </w:rPr>
        <w:t>, paritarias y aportes sociales, sin embargo, l</w:t>
      </w:r>
      <w:r w:rsidR="00323AB5" w:rsidRPr="00323AB5">
        <w:rPr>
          <w:rFonts w:ascii="Times New Roman" w:hAnsi="Times New Roman" w:cs="Times New Roman"/>
        </w:rPr>
        <w:t>os trabajadores “contratados” son empleados “por tiempo determinado” que deben renegociar su situación periódicamente. Además, no pueden concursar por cargos, por lo que no pueden llevar adelante un</w:t>
      </w:r>
      <w:r w:rsidR="007B2614">
        <w:rPr>
          <w:rFonts w:ascii="Times New Roman" w:hAnsi="Times New Roman" w:cs="Times New Roman"/>
        </w:rPr>
        <w:t>a carrera administrativa, y</w:t>
      </w:r>
      <w:r w:rsidR="00323AB5" w:rsidRPr="00323AB5">
        <w:rPr>
          <w:rFonts w:ascii="Times New Roman" w:hAnsi="Times New Roman" w:cs="Times New Roman"/>
        </w:rPr>
        <w:t xml:space="preserve">, no forman parte de un convenio laboral, por lo que, si bien en la práctica la mayoría termina negociando </w:t>
      </w:r>
      <w:r w:rsidR="00B12320">
        <w:rPr>
          <w:rFonts w:ascii="Times New Roman" w:hAnsi="Times New Roman" w:cs="Times New Roman"/>
        </w:rPr>
        <w:t xml:space="preserve">algunos de sus derechos laborales, no acceden a las negociaciones salariales </w:t>
      </w:r>
      <w:r w:rsidR="00323AB5" w:rsidRPr="00323AB5">
        <w:rPr>
          <w:rFonts w:ascii="Times New Roman" w:hAnsi="Times New Roman" w:cs="Times New Roman"/>
        </w:rPr>
        <w:t>ni el Estado le realiza sus aportes</w:t>
      </w:r>
      <w:r w:rsidR="00B12320">
        <w:rPr>
          <w:rFonts w:ascii="Times New Roman" w:hAnsi="Times New Roman" w:cs="Times New Roman"/>
        </w:rPr>
        <w:t xml:space="preserve"> a la seguridad social</w:t>
      </w:r>
      <w:r w:rsidR="00323AB5" w:rsidRPr="00323AB5">
        <w:rPr>
          <w:rFonts w:ascii="Times New Roman" w:hAnsi="Times New Roman" w:cs="Times New Roman"/>
        </w:rPr>
        <w:t xml:space="preserve"> (CIPPEC y ASAP, 2016.) </w:t>
      </w:r>
    </w:p>
    <w:p w:rsidR="00062011" w:rsidRDefault="00062011" w:rsidP="004B3FDA">
      <w:pPr>
        <w:pStyle w:val="Default"/>
        <w:spacing w:line="360" w:lineRule="auto"/>
        <w:ind w:firstLine="340"/>
        <w:jc w:val="both"/>
        <w:rPr>
          <w:rFonts w:ascii="Times New Roman" w:hAnsi="Times New Roman" w:cs="Times New Roman"/>
        </w:rPr>
      </w:pPr>
      <w:r>
        <w:rPr>
          <w:rFonts w:ascii="Times New Roman" w:hAnsi="Times New Roman" w:cs="Times New Roman"/>
        </w:rPr>
        <w:t>En este sentido, pese a que e</w:t>
      </w:r>
      <w:r w:rsidRPr="00062011">
        <w:rPr>
          <w:rFonts w:ascii="Times New Roman" w:hAnsi="Times New Roman" w:cs="Times New Roman"/>
        </w:rPr>
        <w:t>l convenio colectivo fijado en el año 2006 establece que la proporción de personal transitorio sobre el total de trabajadores permanentes debe ser de un 15%</w:t>
      </w:r>
      <w:r>
        <w:rPr>
          <w:rFonts w:ascii="Times New Roman" w:hAnsi="Times New Roman" w:cs="Times New Roman"/>
        </w:rPr>
        <w:t xml:space="preserve">, </w:t>
      </w:r>
      <w:r w:rsidRPr="00062011">
        <w:rPr>
          <w:rFonts w:ascii="Times New Roman" w:hAnsi="Times New Roman" w:cs="Times New Roman"/>
        </w:rPr>
        <w:t xml:space="preserve">el Estado argentino hacia el fin del periodo </w:t>
      </w:r>
      <w:proofErr w:type="spellStart"/>
      <w:r w:rsidRPr="00062011">
        <w:rPr>
          <w:rFonts w:ascii="Times New Roman" w:hAnsi="Times New Roman" w:cs="Times New Roman"/>
        </w:rPr>
        <w:t>neodesarrollista</w:t>
      </w:r>
      <w:proofErr w:type="spellEnd"/>
      <w:r w:rsidRPr="00062011">
        <w:rPr>
          <w:rFonts w:ascii="Times New Roman" w:hAnsi="Times New Roman" w:cs="Times New Roman"/>
        </w:rPr>
        <w:t xml:space="preserve"> </w:t>
      </w:r>
      <w:r>
        <w:rPr>
          <w:rFonts w:ascii="Times New Roman" w:hAnsi="Times New Roman" w:cs="Times New Roman"/>
        </w:rPr>
        <w:t xml:space="preserve">llevaba </w:t>
      </w:r>
      <w:r w:rsidR="009D588E">
        <w:rPr>
          <w:rFonts w:ascii="Times New Roman" w:hAnsi="Times New Roman" w:cs="Times New Roman"/>
        </w:rPr>
        <w:t>empleados</w:t>
      </w:r>
      <w:r w:rsidRPr="00062011">
        <w:rPr>
          <w:rFonts w:ascii="Times New Roman" w:hAnsi="Times New Roman" w:cs="Times New Roman"/>
        </w:rPr>
        <w:t xml:space="preserve"> casi tres veces más transitorios que permanentes, muy por encima de aquella proporción (Pomares, </w:t>
      </w:r>
      <w:proofErr w:type="spellStart"/>
      <w:r w:rsidRPr="00062011">
        <w:rPr>
          <w:rFonts w:ascii="Times New Roman" w:hAnsi="Times New Roman" w:cs="Times New Roman"/>
        </w:rPr>
        <w:t>Gasparin</w:t>
      </w:r>
      <w:proofErr w:type="spellEnd"/>
      <w:r w:rsidRPr="00062011">
        <w:rPr>
          <w:rFonts w:ascii="Times New Roman" w:hAnsi="Times New Roman" w:cs="Times New Roman"/>
        </w:rPr>
        <w:t xml:space="preserve">, y </w:t>
      </w:r>
      <w:proofErr w:type="spellStart"/>
      <w:r w:rsidRPr="00062011">
        <w:rPr>
          <w:rFonts w:ascii="Times New Roman" w:hAnsi="Times New Roman" w:cs="Times New Roman"/>
        </w:rPr>
        <w:lastRenderedPageBreak/>
        <w:t>Deleersnyder</w:t>
      </w:r>
      <w:proofErr w:type="spellEnd"/>
      <w:r w:rsidRPr="00062011">
        <w:rPr>
          <w:rFonts w:ascii="Times New Roman" w:hAnsi="Times New Roman" w:cs="Times New Roman"/>
        </w:rPr>
        <w:t xml:space="preserve"> 2013)</w:t>
      </w:r>
      <w:r>
        <w:rPr>
          <w:rStyle w:val="Refdenotaalpie"/>
          <w:rFonts w:ascii="Times New Roman" w:hAnsi="Times New Roman" w:cs="Times New Roman"/>
        </w:rPr>
        <w:footnoteReference w:id="15"/>
      </w:r>
      <w:r w:rsidRPr="00062011">
        <w:rPr>
          <w:rFonts w:ascii="Times New Roman" w:hAnsi="Times New Roman" w:cs="Times New Roman"/>
        </w:rPr>
        <w:t>.</w:t>
      </w:r>
      <w:r>
        <w:rPr>
          <w:rFonts w:ascii="Times New Roman" w:hAnsi="Times New Roman" w:cs="Times New Roman"/>
        </w:rPr>
        <w:t xml:space="preserve"> Debido a estas comunes modalidades de contratación</w:t>
      </w:r>
      <w:r w:rsidRPr="00062011">
        <w:rPr>
          <w:rFonts w:ascii="Times New Roman" w:hAnsi="Times New Roman" w:cs="Times New Roman"/>
        </w:rPr>
        <w:t xml:space="preserve"> en el sector público argentino, es de esperar que muchos jóvenes sean considerados </w:t>
      </w:r>
      <w:r w:rsidR="005A74F2">
        <w:rPr>
          <w:rFonts w:ascii="Times New Roman" w:hAnsi="Times New Roman" w:cs="Times New Roman"/>
        </w:rPr>
        <w:t>en</w:t>
      </w:r>
      <w:r w:rsidRPr="00062011">
        <w:rPr>
          <w:rFonts w:ascii="Times New Roman" w:hAnsi="Times New Roman" w:cs="Times New Roman"/>
        </w:rPr>
        <w:t xml:space="preserve"> la definición que se toma aquí de los empleos no regulados, como trabajadores independientes o cuenta propia, siendo común, además, que en este sector se trabaje menos de 35 horas semanales. Sin embargo, puede que muchos jóvenes trabajadores de planta transitoria en el sector público, hayan sido considerados como empleados regulados en el present</w:t>
      </w:r>
      <w:r w:rsidR="005A74F2">
        <w:rPr>
          <w:rFonts w:ascii="Times New Roman" w:hAnsi="Times New Roman" w:cs="Times New Roman"/>
        </w:rPr>
        <w:t xml:space="preserve">e estudio </w:t>
      </w:r>
      <w:proofErr w:type="spellStart"/>
      <w:r w:rsidR="005A74F2">
        <w:rPr>
          <w:rFonts w:ascii="Times New Roman" w:hAnsi="Times New Roman" w:cs="Times New Roman"/>
        </w:rPr>
        <w:t>aún</w:t>
      </w:r>
      <w:proofErr w:type="spellEnd"/>
      <w:r w:rsidR="005A74F2">
        <w:rPr>
          <w:rFonts w:ascii="Times New Roman" w:hAnsi="Times New Roman" w:cs="Times New Roman"/>
        </w:rPr>
        <w:t xml:space="preserve"> teniendo</w:t>
      </w:r>
      <w:r w:rsidRPr="00062011">
        <w:rPr>
          <w:rFonts w:ascii="Times New Roman" w:hAnsi="Times New Roman" w:cs="Times New Roman"/>
        </w:rPr>
        <w:t xml:space="preserve"> una relación de precarización encubierta en dicho sector</w:t>
      </w:r>
      <w:r w:rsidR="005A74F2">
        <w:rPr>
          <w:rFonts w:ascii="Times New Roman" w:hAnsi="Times New Roman" w:cs="Times New Roman"/>
        </w:rPr>
        <w:t xml:space="preserve"> como se desprende de lo visto anteriormente</w:t>
      </w:r>
      <w:r w:rsidRPr="00062011">
        <w:rPr>
          <w:rFonts w:ascii="Times New Roman" w:hAnsi="Times New Roman" w:cs="Times New Roman"/>
        </w:rPr>
        <w:t>.</w:t>
      </w:r>
      <w:r w:rsidR="00725BD5">
        <w:rPr>
          <w:rFonts w:ascii="Times New Roman" w:hAnsi="Times New Roman" w:cs="Times New Roman"/>
        </w:rPr>
        <w:t xml:space="preserve"> </w:t>
      </w:r>
      <w:r w:rsidR="005A74F2">
        <w:rPr>
          <w:rFonts w:ascii="Times New Roman" w:hAnsi="Times New Roman" w:cs="Times New Roman"/>
        </w:rPr>
        <w:t>L</w:t>
      </w:r>
      <w:r w:rsidRPr="00062011">
        <w:rPr>
          <w:rFonts w:ascii="Times New Roman" w:hAnsi="Times New Roman" w:cs="Times New Roman"/>
        </w:rPr>
        <w:t xml:space="preserve">os trabajadores que se rigen bajo estas modalidades suelen encubrir en verdad una relación de dependencia con un mismo empleador, el Estado, año tras año de trabajo, y si bien la ley impone que su trabajo deberá enfocarse en proyectos específicos y de </w:t>
      </w:r>
      <w:r w:rsidRPr="00020770">
        <w:rPr>
          <w:rFonts w:ascii="Times New Roman" w:hAnsi="Times New Roman" w:cs="Times New Roman"/>
        </w:rPr>
        <w:t>tiempo limitado, en la práctica suelen desempeñarse muchas veces en tareas permanentes</w:t>
      </w:r>
      <w:r w:rsidR="00020770">
        <w:rPr>
          <w:rFonts w:ascii="Times New Roman" w:hAnsi="Times New Roman" w:cs="Times New Roman"/>
        </w:rPr>
        <w:t xml:space="preserve"> aun sin pasar a una contratación </w:t>
      </w:r>
      <w:r w:rsidR="00A40F3C">
        <w:rPr>
          <w:rFonts w:ascii="Times New Roman" w:hAnsi="Times New Roman" w:cs="Times New Roman"/>
        </w:rPr>
        <w:t>de mayor calidad</w:t>
      </w:r>
      <w:r w:rsidR="00020770">
        <w:rPr>
          <w:rFonts w:ascii="Times New Roman" w:hAnsi="Times New Roman" w:cs="Times New Roman"/>
        </w:rPr>
        <w:t xml:space="preserve">. </w:t>
      </w:r>
      <w:r w:rsidR="00A40F3C">
        <w:rPr>
          <w:rFonts w:ascii="Times New Roman" w:hAnsi="Times New Roman" w:cs="Times New Roman"/>
        </w:rPr>
        <w:t xml:space="preserve">Particularmente este grupo etario suele estar </w:t>
      </w:r>
      <w:r w:rsidR="000D55A1">
        <w:rPr>
          <w:rFonts w:ascii="Times New Roman" w:hAnsi="Times New Roman" w:cs="Times New Roman"/>
        </w:rPr>
        <w:t>m</w:t>
      </w:r>
      <w:r w:rsidR="00A40F3C">
        <w:rPr>
          <w:rFonts w:ascii="Times New Roman" w:hAnsi="Times New Roman" w:cs="Times New Roman"/>
        </w:rPr>
        <w:t>ás expuesto a este tipo de contrataciones debido a que recientemente se incorporan al mundo laboral, y en este caso, a la carrera en la administración pública.</w:t>
      </w:r>
    </w:p>
    <w:p w:rsidR="00DA6B00" w:rsidRDefault="00020770" w:rsidP="004B3FDA">
      <w:pPr>
        <w:pStyle w:val="Default"/>
        <w:spacing w:line="360" w:lineRule="auto"/>
        <w:ind w:firstLine="340"/>
        <w:jc w:val="both"/>
        <w:rPr>
          <w:rFonts w:ascii="Times New Roman" w:hAnsi="Times New Roman" w:cs="Times New Roman"/>
        </w:rPr>
      </w:pPr>
      <w:r>
        <w:rPr>
          <w:rFonts w:ascii="Times New Roman" w:hAnsi="Times New Roman" w:cs="Times New Roman"/>
        </w:rPr>
        <w:t xml:space="preserve">En síntesis, pese a las particularidades que presenta el sector en términos de contratación </w:t>
      </w:r>
      <w:r w:rsidR="00725BD5">
        <w:rPr>
          <w:rFonts w:ascii="Times New Roman" w:hAnsi="Times New Roman" w:cs="Times New Roman"/>
        </w:rPr>
        <w:t>pudiendo</w:t>
      </w:r>
      <w:r>
        <w:rPr>
          <w:rFonts w:ascii="Times New Roman" w:hAnsi="Times New Roman" w:cs="Times New Roman"/>
        </w:rPr>
        <w:t xml:space="preserve"> afectar de alguna manera a </w:t>
      </w:r>
      <w:r w:rsidR="00725BD5">
        <w:rPr>
          <w:rFonts w:ascii="Times New Roman" w:hAnsi="Times New Roman" w:cs="Times New Roman"/>
        </w:rPr>
        <w:t>quienes se consideran aquí</w:t>
      </w:r>
      <w:r>
        <w:rPr>
          <w:rFonts w:ascii="Times New Roman" w:hAnsi="Times New Roman" w:cs="Times New Roman"/>
        </w:rPr>
        <w:t xml:space="preserve"> </w:t>
      </w:r>
      <w:r w:rsidR="00725BD5">
        <w:rPr>
          <w:rFonts w:ascii="Times New Roman" w:hAnsi="Times New Roman" w:cs="Times New Roman"/>
        </w:rPr>
        <w:t xml:space="preserve">trabajadores </w:t>
      </w:r>
      <w:r>
        <w:rPr>
          <w:rFonts w:ascii="Times New Roman" w:hAnsi="Times New Roman" w:cs="Times New Roman"/>
        </w:rPr>
        <w:t xml:space="preserve">regulados </w:t>
      </w:r>
      <w:r w:rsidR="007B2614">
        <w:rPr>
          <w:rFonts w:ascii="Times New Roman" w:hAnsi="Times New Roman" w:cs="Times New Roman"/>
        </w:rPr>
        <w:t>o no regulados</w:t>
      </w:r>
      <w:r w:rsidR="00725BD5">
        <w:rPr>
          <w:rFonts w:ascii="Times New Roman" w:hAnsi="Times New Roman" w:cs="Times New Roman"/>
        </w:rPr>
        <w:t xml:space="preserve">, </w:t>
      </w:r>
      <w:r w:rsidR="00126F1F" w:rsidRPr="00725BD5">
        <w:rPr>
          <w:rFonts w:ascii="Times New Roman" w:hAnsi="Times New Roman" w:cs="Times New Roman"/>
        </w:rPr>
        <w:t>se observa que</w:t>
      </w:r>
      <w:r w:rsidR="00DA6B00" w:rsidRPr="00725BD5">
        <w:rPr>
          <w:rFonts w:ascii="Times New Roman" w:hAnsi="Times New Roman" w:cs="Times New Roman"/>
        </w:rPr>
        <w:t xml:space="preserve"> la participación del segmento no regulado en el total de </w:t>
      </w:r>
      <w:r w:rsidR="005D596F" w:rsidRPr="00725BD5">
        <w:rPr>
          <w:rFonts w:ascii="Times New Roman" w:hAnsi="Times New Roman" w:cs="Times New Roman"/>
        </w:rPr>
        <w:t xml:space="preserve">jóvenes </w:t>
      </w:r>
      <w:r w:rsidR="00DA6B00" w:rsidRPr="00725BD5">
        <w:rPr>
          <w:rFonts w:ascii="Times New Roman" w:hAnsi="Times New Roman" w:cs="Times New Roman"/>
        </w:rPr>
        <w:t>ocupad</w:t>
      </w:r>
      <w:r w:rsidR="00BE0194" w:rsidRPr="00725BD5">
        <w:rPr>
          <w:rFonts w:ascii="Times New Roman" w:hAnsi="Times New Roman" w:cs="Times New Roman"/>
        </w:rPr>
        <w:t xml:space="preserve">os en todos los años </w:t>
      </w:r>
      <w:r w:rsidR="001941D6" w:rsidRPr="00725BD5">
        <w:rPr>
          <w:rFonts w:ascii="Times New Roman" w:hAnsi="Times New Roman" w:cs="Times New Roman"/>
        </w:rPr>
        <w:t>promedia</w:t>
      </w:r>
      <w:r w:rsidR="00BE0194" w:rsidRPr="00725BD5">
        <w:rPr>
          <w:rFonts w:ascii="Times New Roman" w:hAnsi="Times New Roman" w:cs="Times New Roman"/>
        </w:rPr>
        <w:t xml:space="preserve"> el 50</w:t>
      </w:r>
      <w:r w:rsidR="00DA6B00" w:rsidRPr="00725BD5">
        <w:rPr>
          <w:rFonts w:ascii="Times New Roman" w:hAnsi="Times New Roman" w:cs="Times New Roman"/>
        </w:rPr>
        <w:t>%</w:t>
      </w:r>
      <w:r w:rsidR="001941D6" w:rsidRPr="00725BD5">
        <w:rPr>
          <w:rFonts w:ascii="Times New Roman" w:hAnsi="Times New Roman" w:cs="Times New Roman"/>
        </w:rPr>
        <w:t xml:space="preserve">, </w:t>
      </w:r>
      <w:r w:rsidR="0035641B" w:rsidRPr="00725BD5">
        <w:rPr>
          <w:rFonts w:ascii="Times New Roman" w:hAnsi="Times New Roman" w:cs="Times New Roman"/>
        </w:rPr>
        <w:t>destacando</w:t>
      </w:r>
      <w:r w:rsidR="00EE1D5E" w:rsidRPr="00725BD5">
        <w:rPr>
          <w:rFonts w:ascii="Times New Roman" w:hAnsi="Times New Roman" w:cs="Times New Roman"/>
        </w:rPr>
        <w:t xml:space="preserve"> el </w:t>
      </w:r>
      <w:r w:rsidR="001941D6" w:rsidRPr="00725BD5">
        <w:rPr>
          <w:rFonts w:ascii="Times New Roman" w:hAnsi="Times New Roman" w:cs="Times New Roman"/>
        </w:rPr>
        <w:t>esperable</w:t>
      </w:r>
      <w:r w:rsidR="00DA6B00" w:rsidRPr="00725BD5">
        <w:rPr>
          <w:rFonts w:ascii="Times New Roman" w:hAnsi="Times New Roman" w:cs="Times New Roman"/>
        </w:rPr>
        <w:t xml:space="preserve"> </w:t>
      </w:r>
      <w:r w:rsidR="00A40F3C">
        <w:rPr>
          <w:rFonts w:ascii="Times New Roman" w:hAnsi="Times New Roman" w:cs="Times New Roman"/>
        </w:rPr>
        <w:t xml:space="preserve">y </w:t>
      </w:r>
      <w:r w:rsidR="00A40F3C" w:rsidRPr="00725BD5">
        <w:rPr>
          <w:rFonts w:ascii="Times New Roman" w:hAnsi="Times New Roman" w:cs="Times New Roman"/>
        </w:rPr>
        <w:t xml:space="preserve">significativo </w:t>
      </w:r>
      <w:r w:rsidR="00DA6B00" w:rsidRPr="00725BD5">
        <w:rPr>
          <w:rFonts w:ascii="Times New Roman" w:hAnsi="Times New Roman" w:cs="Times New Roman"/>
        </w:rPr>
        <w:t>aumento durante el</w:t>
      </w:r>
      <w:r w:rsidR="00EE1D5E" w:rsidRPr="00725BD5">
        <w:rPr>
          <w:rFonts w:ascii="Times New Roman" w:hAnsi="Times New Roman" w:cs="Times New Roman"/>
        </w:rPr>
        <w:t xml:space="preserve"> periodo de pre y post crisis</w:t>
      </w:r>
      <w:r w:rsidR="001941D6" w:rsidRPr="00725BD5">
        <w:rPr>
          <w:rFonts w:ascii="Times New Roman" w:hAnsi="Times New Roman" w:cs="Times New Roman"/>
        </w:rPr>
        <w:t>.</w:t>
      </w:r>
      <w:r w:rsidR="00304E7A">
        <w:rPr>
          <w:rFonts w:ascii="Times New Roman" w:hAnsi="Times New Roman" w:cs="Times New Roman"/>
        </w:rPr>
        <w:t xml:space="preserve"> </w:t>
      </w:r>
    </w:p>
    <w:p w:rsidR="001F7534" w:rsidRDefault="00FA7E0E" w:rsidP="00EA7FE3">
      <w:pPr>
        <w:tabs>
          <w:tab w:val="left" w:pos="2955"/>
        </w:tabs>
        <w:spacing w:line="360" w:lineRule="auto"/>
        <w:jc w:val="both"/>
        <w:rPr>
          <w:rFonts w:ascii="Times New Roman" w:hAnsi="Times New Roman" w:cs="Times New Roman"/>
          <w:sz w:val="24"/>
        </w:rPr>
      </w:pPr>
      <w:r>
        <w:rPr>
          <w:rFonts w:ascii="Times New Roman" w:hAnsi="Times New Roman" w:cs="Times New Roman"/>
          <w:sz w:val="24"/>
        </w:rPr>
        <w:t>Ahora bien, c</w:t>
      </w:r>
      <w:r w:rsidR="00EA7FE3">
        <w:rPr>
          <w:rFonts w:ascii="Times New Roman" w:hAnsi="Times New Roman" w:cs="Times New Roman"/>
          <w:sz w:val="24"/>
        </w:rPr>
        <w:t>uando observamos</w:t>
      </w:r>
      <w:r w:rsidR="00882F0F">
        <w:rPr>
          <w:rFonts w:ascii="Times New Roman" w:hAnsi="Times New Roman" w:cs="Times New Roman"/>
          <w:sz w:val="24"/>
        </w:rPr>
        <w:t xml:space="preserve"> la participación del segmento no regulado según c</w:t>
      </w:r>
      <w:r w:rsidR="000D55A1">
        <w:rPr>
          <w:rFonts w:ascii="Times New Roman" w:hAnsi="Times New Roman" w:cs="Times New Roman"/>
          <w:sz w:val="24"/>
        </w:rPr>
        <w:t>ategoría económico ocupacional</w:t>
      </w:r>
      <w:r w:rsidR="00925C89">
        <w:rPr>
          <w:rFonts w:ascii="Times New Roman" w:hAnsi="Times New Roman" w:cs="Times New Roman"/>
          <w:sz w:val="24"/>
        </w:rPr>
        <w:t xml:space="preserve">, </w:t>
      </w:r>
      <w:r w:rsidR="00A40F3C">
        <w:rPr>
          <w:rFonts w:ascii="Times New Roman" w:hAnsi="Times New Roman" w:cs="Times New Roman"/>
          <w:sz w:val="24"/>
        </w:rPr>
        <w:t>tanto en el</w:t>
      </w:r>
      <w:r w:rsidR="00925C89">
        <w:rPr>
          <w:rFonts w:ascii="Times New Roman" w:hAnsi="Times New Roman" w:cs="Times New Roman"/>
          <w:sz w:val="24"/>
        </w:rPr>
        <w:t xml:space="preserve"> sector</w:t>
      </w:r>
      <w:r w:rsidR="00A40F3C">
        <w:rPr>
          <w:rFonts w:ascii="Times New Roman" w:hAnsi="Times New Roman" w:cs="Times New Roman"/>
          <w:sz w:val="24"/>
        </w:rPr>
        <w:t xml:space="preserve"> formal como</w:t>
      </w:r>
      <w:r w:rsidR="00925C89">
        <w:rPr>
          <w:rFonts w:ascii="Times New Roman" w:hAnsi="Times New Roman" w:cs="Times New Roman"/>
          <w:sz w:val="24"/>
        </w:rPr>
        <w:t xml:space="preserve"> micro informal, los</w:t>
      </w:r>
      <w:r w:rsidR="00EA7FE3">
        <w:rPr>
          <w:rFonts w:ascii="Times New Roman" w:hAnsi="Times New Roman" w:cs="Times New Roman"/>
          <w:sz w:val="24"/>
        </w:rPr>
        <w:t xml:space="preserve"> </w:t>
      </w:r>
      <w:r w:rsidR="00925C89">
        <w:rPr>
          <w:rFonts w:ascii="Times New Roman" w:hAnsi="Times New Roman" w:cs="Times New Roman"/>
          <w:sz w:val="24"/>
        </w:rPr>
        <w:t>jóvenes</w:t>
      </w:r>
      <w:r w:rsidR="00EA7FE3">
        <w:rPr>
          <w:rFonts w:ascii="Times New Roman" w:hAnsi="Times New Roman" w:cs="Times New Roman"/>
          <w:sz w:val="24"/>
        </w:rPr>
        <w:t xml:space="preserve"> asalariad</w:t>
      </w:r>
      <w:r w:rsidR="00925C89">
        <w:rPr>
          <w:rFonts w:ascii="Times New Roman" w:hAnsi="Times New Roman" w:cs="Times New Roman"/>
          <w:sz w:val="24"/>
        </w:rPr>
        <w:t>os</w:t>
      </w:r>
      <w:r w:rsidR="00EA7FE3">
        <w:rPr>
          <w:rFonts w:ascii="Times New Roman" w:hAnsi="Times New Roman" w:cs="Times New Roman"/>
          <w:sz w:val="24"/>
        </w:rPr>
        <w:t xml:space="preserve"> en este segmento son</w:t>
      </w:r>
      <w:r w:rsidR="008A43D2">
        <w:rPr>
          <w:rFonts w:ascii="Times New Roman" w:hAnsi="Times New Roman" w:cs="Times New Roman"/>
          <w:sz w:val="24"/>
        </w:rPr>
        <w:t xml:space="preserve"> en promedio</w:t>
      </w:r>
      <w:r w:rsidR="00EA7FE3">
        <w:rPr>
          <w:rFonts w:ascii="Times New Roman" w:hAnsi="Times New Roman" w:cs="Times New Roman"/>
          <w:sz w:val="24"/>
        </w:rPr>
        <w:t xml:space="preserve"> mayoría</w:t>
      </w:r>
      <w:r w:rsidR="00FD2741">
        <w:rPr>
          <w:rFonts w:ascii="Times New Roman" w:hAnsi="Times New Roman" w:cs="Times New Roman"/>
          <w:sz w:val="24"/>
        </w:rPr>
        <w:t>.</w:t>
      </w:r>
      <w:r w:rsidR="008A43D2">
        <w:rPr>
          <w:rFonts w:ascii="Times New Roman" w:hAnsi="Times New Roman" w:cs="Times New Roman"/>
          <w:sz w:val="24"/>
        </w:rPr>
        <w:t xml:space="preserve"> </w:t>
      </w:r>
      <w:r w:rsidR="00287115">
        <w:rPr>
          <w:rFonts w:ascii="Times New Roman" w:hAnsi="Times New Roman" w:cs="Times New Roman"/>
          <w:sz w:val="24"/>
        </w:rPr>
        <w:t xml:space="preserve">Entendemos que el régimen simplificado de </w:t>
      </w:r>
      <w:proofErr w:type="spellStart"/>
      <w:r w:rsidR="00287115">
        <w:rPr>
          <w:rFonts w:ascii="Times New Roman" w:hAnsi="Times New Roman" w:cs="Times New Roman"/>
          <w:sz w:val="24"/>
        </w:rPr>
        <w:t>monotributo</w:t>
      </w:r>
      <w:proofErr w:type="spellEnd"/>
      <w:r w:rsidR="00287115">
        <w:rPr>
          <w:rFonts w:ascii="Times New Roman" w:hAnsi="Times New Roman" w:cs="Times New Roman"/>
          <w:sz w:val="24"/>
        </w:rPr>
        <w:t xml:space="preserve"> para pequeños contribuyentes puede estar también colaborando a disminuir los porcentajes del segmento no regulado de los trabajadores jóvenes no asalariados. </w:t>
      </w:r>
    </w:p>
    <w:p w:rsidR="004678DC" w:rsidRDefault="008A62E1" w:rsidP="004B3FDA">
      <w:pPr>
        <w:pStyle w:val="Default"/>
        <w:spacing w:line="360" w:lineRule="auto"/>
        <w:ind w:firstLine="340"/>
        <w:jc w:val="both"/>
        <w:rPr>
          <w:rFonts w:ascii="Times New Roman" w:hAnsi="Times New Roman" w:cs="Times New Roman"/>
        </w:rPr>
      </w:pPr>
      <w:r w:rsidRPr="00A40F3C">
        <w:rPr>
          <w:rFonts w:ascii="Times New Roman" w:hAnsi="Times New Roman" w:cs="Times New Roman"/>
        </w:rPr>
        <w:t xml:space="preserve">En Argentina </w:t>
      </w:r>
      <w:r w:rsidR="00A40F3C" w:rsidRPr="00A40F3C">
        <w:rPr>
          <w:rFonts w:ascii="Times New Roman" w:hAnsi="Times New Roman" w:cs="Times New Roman"/>
        </w:rPr>
        <w:t xml:space="preserve">este régimen </w:t>
      </w:r>
      <w:r w:rsidRPr="00A40F3C">
        <w:rPr>
          <w:rFonts w:ascii="Times New Roman" w:hAnsi="Times New Roman" w:cs="Times New Roman"/>
        </w:rPr>
        <w:t xml:space="preserve">ha ido evolucionando, incorporando nuevos parámetros y definiciones respecto a las categorías y a los propios contribuyentes. Por ejemplo se ha creado un régimen especial para trabajadores del agro, e incluso para empleados del servicio doméstico. El punto de inflexión fue la reforma del año 2004 (Ley 25.865) que dividió el régimen en dos categorías, prestación de servicios y resto de actividades. Además, incorporó a contribuyentes </w:t>
      </w:r>
      <w:r w:rsidRPr="00A40F3C">
        <w:rPr>
          <w:rFonts w:ascii="Times New Roman" w:hAnsi="Times New Roman" w:cs="Times New Roman"/>
        </w:rPr>
        <w:lastRenderedPageBreak/>
        <w:t>eventuales, a los asociados a cooperativas de trabajo, y adoptó normas especiales para los pequeños contribuyentes inscriptos en el Registro Nacional de Efectores de Desarrollo Local y Economía Social</w:t>
      </w:r>
      <w:r w:rsidRPr="00A40F3C">
        <w:rPr>
          <w:rStyle w:val="Refdenotaalpie"/>
          <w:rFonts w:ascii="Times New Roman" w:hAnsi="Times New Roman" w:cs="Times New Roman"/>
        </w:rPr>
        <w:footnoteReference w:id="16"/>
      </w:r>
      <w:r w:rsidRPr="00A40F3C">
        <w:rPr>
          <w:rFonts w:ascii="Times New Roman" w:hAnsi="Times New Roman" w:cs="Times New Roman"/>
        </w:rPr>
        <w:t xml:space="preserve"> denominado </w:t>
      </w:r>
      <w:proofErr w:type="spellStart"/>
      <w:r w:rsidRPr="00A40F3C">
        <w:rPr>
          <w:rFonts w:ascii="Times New Roman" w:hAnsi="Times New Roman" w:cs="Times New Roman"/>
        </w:rPr>
        <w:t>Monotributo</w:t>
      </w:r>
      <w:proofErr w:type="spellEnd"/>
      <w:r w:rsidRPr="00A40F3C">
        <w:rPr>
          <w:rFonts w:ascii="Times New Roman" w:hAnsi="Times New Roman" w:cs="Times New Roman"/>
        </w:rPr>
        <w:t xml:space="preserve"> Social. El mismo fue diseñado para trabajadores en condición de vulnerabilidad social, que se encuentren en situación de desempleo o que sean destinatarios de programas sociales, en pos de facilitar y promover el desarrollo de actividades productivas y la incorporación al trabajo registrado de los mismos (</w:t>
      </w:r>
      <w:proofErr w:type="spellStart"/>
      <w:r w:rsidRPr="00A40F3C">
        <w:rPr>
          <w:rFonts w:ascii="Times New Roman" w:hAnsi="Times New Roman" w:cs="Times New Roman"/>
        </w:rPr>
        <w:t>Repetto</w:t>
      </w:r>
      <w:proofErr w:type="spellEnd"/>
      <w:r w:rsidRPr="00A40F3C">
        <w:rPr>
          <w:rFonts w:ascii="Times New Roman" w:hAnsi="Times New Roman" w:cs="Times New Roman"/>
        </w:rPr>
        <w:t xml:space="preserve"> y Potenza </w:t>
      </w:r>
      <w:proofErr w:type="spellStart"/>
      <w:r w:rsidRPr="00A40F3C">
        <w:rPr>
          <w:rFonts w:ascii="Times New Roman" w:hAnsi="Times New Roman" w:cs="Times New Roman"/>
        </w:rPr>
        <w:t>Dal</w:t>
      </w:r>
      <w:proofErr w:type="spellEnd"/>
      <w:r w:rsidRPr="00A40F3C">
        <w:rPr>
          <w:rFonts w:ascii="Times New Roman" w:hAnsi="Times New Roman" w:cs="Times New Roman"/>
        </w:rPr>
        <w:t xml:space="preserve"> </w:t>
      </w:r>
      <w:proofErr w:type="spellStart"/>
      <w:r w:rsidRPr="00A40F3C">
        <w:rPr>
          <w:rFonts w:ascii="Times New Roman" w:hAnsi="Times New Roman" w:cs="Times New Roman"/>
        </w:rPr>
        <w:t>Masetto</w:t>
      </w:r>
      <w:proofErr w:type="spellEnd"/>
      <w:r w:rsidRPr="00A40F3C">
        <w:rPr>
          <w:rFonts w:ascii="Times New Roman" w:hAnsi="Times New Roman" w:cs="Times New Roman"/>
        </w:rPr>
        <w:t>, 2011)</w:t>
      </w:r>
      <w:r w:rsidR="00254884">
        <w:rPr>
          <w:rFonts w:ascii="Times New Roman" w:hAnsi="Times New Roman" w:cs="Times New Roman"/>
        </w:rPr>
        <w:t xml:space="preserve">. </w:t>
      </w:r>
      <w:r w:rsidR="004678DC">
        <w:rPr>
          <w:rFonts w:ascii="Times New Roman" w:hAnsi="Times New Roman" w:cs="Times New Roman"/>
        </w:rPr>
        <w:t xml:space="preserve">A partir de la reforma del año 2004 se incrementó la cantidad de contribuyentes y la regularidad de sus pagos, asociado a la </w:t>
      </w:r>
      <w:proofErr w:type="spellStart"/>
      <w:r w:rsidR="00037223">
        <w:rPr>
          <w:rFonts w:ascii="Times New Roman" w:hAnsi="Times New Roman" w:cs="Times New Roman"/>
        </w:rPr>
        <w:t>recategorización</w:t>
      </w:r>
      <w:proofErr w:type="spellEnd"/>
      <w:r w:rsidR="004678DC">
        <w:rPr>
          <w:rFonts w:ascii="Times New Roman" w:hAnsi="Times New Roman" w:cs="Times New Roman"/>
        </w:rPr>
        <w:t xml:space="preserve"> y moratoria implementada, acompañando la recuperación económica del país. Se observa entonces durante el periodo </w:t>
      </w:r>
      <w:proofErr w:type="spellStart"/>
      <w:r w:rsidR="004678DC">
        <w:rPr>
          <w:rFonts w:ascii="Times New Roman" w:hAnsi="Times New Roman" w:cs="Times New Roman"/>
        </w:rPr>
        <w:t>neodesarrollista</w:t>
      </w:r>
      <w:proofErr w:type="spellEnd"/>
      <w:r w:rsidR="004678DC">
        <w:rPr>
          <w:rFonts w:ascii="Times New Roman" w:hAnsi="Times New Roman" w:cs="Times New Roman"/>
        </w:rPr>
        <w:t xml:space="preserve"> de la post convertibilidad un sostenido crecimiento y consolidación del </w:t>
      </w:r>
      <w:proofErr w:type="spellStart"/>
      <w:r w:rsidR="004678DC">
        <w:rPr>
          <w:rFonts w:ascii="Times New Roman" w:hAnsi="Times New Roman" w:cs="Times New Roman"/>
        </w:rPr>
        <w:t>monotributo</w:t>
      </w:r>
      <w:proofErr w:type="spellEnd"/>
      <w:r w:rsidR="004678DC">
        <w:rPr>
          <w:rFonts w:ascii="Times New Roman" w:hAnsi="Times New Roman" w:cs="Times New Roman"/>
        </w:rPr>
        <w:t xml:space="preserve">, producto de un aumento de inscriptos en todas de las categorías, </w:t>
      </w:r>
      <w:r w:rsidR="00037223">
        <w:rPr>
          <w:rFonts w:ascii="Times New Roman" w:hAnsi="Times New Roman" w:cs="Times New Roman"/>
        </w:rPr>
        <w:t xml:space="preserve">y </w:t>
      </w:r>
      <w:r w:rsidR="004678DC">
        <w:rPr>
          <w:rFonts w:ascii="Times New Roman" w:hAnsi="Times New Roman" w:cs="Times New Roman"/>
        </w:rPr>
        <w:t>además, de una mayor formalización de las categorías más bajas</w:t>
      </w:r>
      <w:r w:rsidR="00037223">
        <w:rPr>
          <w:rFonts w:ascii="Times New Roman" w:hAnsi="Times New Roman" w:cs="Times New Roman"/>
        </w:rPr>
        <w:t xml:space="preserve"> (</w:t>
      </w:r>
      <w:proofErr w:type="spellStart"/>
      <w:r w:rsidR="00037223">
        <w:rPr>
          <w:rFonts w:ascii="Times New Roman" w:hAnsi="Times New Roman" w:cs="Times New Roman"/>
        </w:rPr>
        <w:t>Cetrángolo</w:t>
      </w:r>
      <w:proofErr w:type="spellEnd"/>
      <w:r w:rsidR="00037223">
        <w:rPr>
          <w:rFonts w:ascii="Times New Roman" w:hAnsi="Times New Roman" w:cs="Times New Roman"/>
        </w:rPr>
        <w:t xml:space="preserve"> et al, 2014)</w:t>
      </w:r>
      <w:r w:rsidR="004678DC">
        <w:rPr>
          <w:rFonts w:ascii="Times New Roman" w:hAnsi="Times New Roman" w:cs="Times New Roman"/>
        </w:rPr>
        <w:t xml:space="preserve">.  </w:t>
      </w:r>
      <w:r w:rsidR="00302F97">
        <w:rPr>
          <w:rFonts w:ascii="Times New Roman" w:hAnsi="Times New Roman" w:cs="Times New Roman"/>
        </w:rPr>
        <w:t xml:space="preserve">A la luz de estas modificaciones se pueden analizar las mejoras sostenidas en los porcentajes de no asalariados tanto formales como informales en este segmento durante el periodo </w:t>
      </w:r>
      <w:proofErr w:type="spellStart"/>
      <w:r w:rsidR="00302F97">
        <w:rPr>
          <w:rFonts w:ascii="Times New Roman" w:hAnsi="Times New Roman" w:cs="Times New Roman"/>
        </w:rPr>
        <w:t>neodesarrollista</w:t>
      </w:r>
      <w:proofErr w:type="spellEnd"/>
      <w:r w:rsidR="00302F97">
        <w:rPr>
          <w:rFonts w:ascii="Times New Roman" w:hAnsi="Times New Roman" w:cs="Times New Roman"/>
        </w:rPr>
        <w:t xml:space="preserve"> de la post convertibilidad. Sobre todo en el secto</w:t>
      </w:r>
      <w:r w:rsidR="00170CE7">
        <w:rPr>
          <w:rFonts w:ascii="Times New Roman" w:hAnsi="Times New Roman" w:cs="Times New Roman"/>
        </w:rPr>
        <w:t xml:space="preserve">r formal, ya que en el informal, si bien mejora progresivamente tras la crisis, </w:t>
      </w:r>
      <w:r w:rsidR="00302F97">
        <w:rPr>
          <w:rFonts w:ascii="Times New Roman" w:hAnsi="Times New Roman" w:cs="Times New Roman"/>
        </w:rPr>
        <w:t xml:space="preserve">no logra </w:t>
      </w:r>
      <w:r w:rsidR="00170CE7">
        <w:rPr>
          <w:rFonts w:ascii="Times New Roman" w:hAnsi="Times New Roman" w:cs="Times New Roman"/>
        </w:rPr>
        <w:t>alcanzar</w:t>
      </w:r>
      <w:r w:rsidR="00302F97">
        <w:rPr>
          <w:rFonts w:ascii="Times New Roman" w:hAnsi="Times New Roman" w:cs="Times New Roman"/>
        </w:rPr>
        <w:t xml:space="preserve"> a los porcentajes del periodo neoliberal.  </w:t>
      </w:r>
    </w:p>
    <w:p w:rsidR="00304E7A" w:rsidRDefault="007237E4" w:rsidP="004B3FDA">
      <w:pPr>
        <w:pStyle w:val="Default"/>
        <w:spacing w:line="360" w:lineRule="auto"/>
        <w:ind w:firstLine="340"/>
        <w:jc w:val="both"/>
        <w:rPr>
          <w:rFonts w:ascii="Times New Roman" w:hAnsi="Times New Roman" w:cs="Times New Roman"/>
        </w:rPr>
      </w:pPr>
      <w:r>
        <w:rPr>
          <w:rFonts w:ascii="Times New Roman" w:hAnsi="Times New Roman" w:cs="Times New Roman"/>
        </w:rPr>
        <w:t xml:space="preserve">Podemos ver con claridad como a partir de la crisis la no regulación predomina en el sector informal para </w:t>
      </w:r>
      <w:proofErr w:type="spellStart"/>
      <w:r w:rsidR="005316BB">
        <w:rPr>
          <w:rFonts w:ascii="Times New Roman" w:hAnsi="Times New Roman" w:cs="Times New Roman"/>
        </w:rPr>
        <w:t>GBA</w:t>
      </w:r>
      <w:r>
        <w:rPr>
          <w:rFonts w:ascii="Times New Roman" w:hAnsi="Times New Roman" w:cs="Times New Roman"/>
        </w:rPr>
        <w:t>s</w:t>
      </w:r>
      <w:proofErr w:type="spellEnd"/>
      <w:r>
        <w:rPr>
          <w:rFonts w:ascii="Times New Roman" w:hAnsi="Times New Roman" w:cs="Times New Roman"/>
        </w:rPr>
        <w:t xml:space="preserve"> categorías, encontrándose en 20 puntos porcentuales por encima del total de ocupados jóvenes. Mientras que en el caso del sector formal se encuentran en el mismo porcentaje, pero por debajo, haciendo un interesante aporte para observar el </w:t>
      </w:r>
      <w:r w:rsidR="00304E7A" w:rsidRPr="00160E6F">
        <w:rPr>
          <w:rFonts w:ascii="Times New Roman" w:hAnsi="Times New Roman" w:cs="Times New Roman"/>
        </w:rPr>
        <w:t>aumento del registro en la seguridad social para el per</w:t>
      </w:r>
      <w:r w:rsidR="00160E6F">
        <w:rPr>
          <w:rFonts w:ascii="Times New Roman" w:hAnsi="Times New Roman" w:cs="Times New Roman"/>
        </w:rPr>
        <w:t xml:space="preserve">iodo de la </w:t>
      </w:r>
      <w:r w:rsidR="000C0411">
        <w:rPr>
          <w:rFonts w:ascii="Times New Roman" w:hAnsi="Times New Roman" w:cs="Times New Roman"/>
        </w:rPr>
        <w:t>post-convertibilidad</w:t>
      </w:r>
      <w:r>
        <w:rPr>
          <w:rFonts w:ascii="Times New Roman" w:hAnsi="Times New Roman" w:cs="Times New Roman"/>
        </w:rPr>
        <w:t>.</w:t>
      </w:r>
      <w:r w:rsidR="008A43D2">
        <w:rPr>
          <w:rFonts w:ascii="Times New Roman" w:hAnsi="Times New Roman" w:cs="Times New Roman"/>
        </w:rPr>
        <w:t xml:space="preserve"> </w:t>
      </w:r>
      <w:r w:rsidR="00052401">
        <w:rPr>
          <w:rFonts w:ascii="Times New Roman" w:hAnsi="Times New Roman" w:cs="Times New Roman"/>
        </w:rPr>
        <w:t xml:space="preserve"> </w:t>
      </w:r>
    </w:p>
    <w:p w:rsidR="00202B2A" w:rsidRDefault="00EA7FE3" w:rsidP="004B3FDA">
      <w:pPr>
        <w:pStyle w:val="Default"/>
        <w:spacing w:line="360" w:lineRule="auto"/>
        <w:ind w:firstLine="340"/>
        <w:jc w:val="both"/>
        <w:rPr>
          <w:rFonts w:ascii="Times New Roman" w:hAnsi="Times New Roman" w:cs="Times New Roman"/>
        </w:rPr>
      </w:pPr>
      <w:r>
        <w:rPr>
          <w:rFonts w:ascii="Times New Roman" w:hAnsi="Times New Roman" w:cs="Times New Roman"/>
        </w:rPr>
        <w:t xml:space="preserve">De este modo, se confirma </w:t>
      </w:r>
      <w:r w:rsidRPr="00446D26">
        <w:rPr>
          <w:rFonts w:ascii="Times New Roman" w:hAnsi="Times New Roman" w:cs="Times New Roman"/>
        </w:rPr>
        <w:t xml:space="preserve">una estrecha asociación entre </w:t>
      </w:r>
      <w:r>
        <w:rPr>
          <w:rFonts w:ascii="Times New Roman" w:hAnsi="Times New Roman" w:cs="Times New Roman"/>
        </w:rPr>
        <w:t>el tipo de empleo o segmento del mercado y el sector o categoría económico-ocupacional, tanto en ciclos de retracción ocupacional como en períodos de aumento de la demanda agregada de empleo. Ahora bien, cabe evaluar si estas diferencias en términos de oportunidades ocupacionales tuvieron un correlato en materia de las remuneraciones horarias de los puestos disponibles p</w:t>
      </w:r>
      <w:r w:rsidR="006A23C8">
        <w:rPr>
          <w:rFonts w:ascii="Times New Roman" w:hAnsi="Times New Roman" w:cs="Times New Roman"/>
        </w:rPr>
        <w:t>ara la fuerza de trabajo joven.</w:t>
      </w:r>
    </w:p>
    <w:p w:rsidR="004B3FDA" w:rsidRDefault="004B3FDA" w:rsidP="004B3FDA">
      <w:pPr>
        <w:pStyle w:val="Default"/>
        <w:spacing w:line="360" w:lineRule="auto"/>
        <w:ind w:firstLine="340"/>
        <w:jc w:val="both"/>
        <w:rPr>
          <w:rFonts w:ascii="Times New Roman" w:hAnsi="Times New Roman" w:cs="Times New Roman"/>
        </w:rPr>
      </w:pPr>
    </w:p>
    <w:p w:rsidR="00C920C3" w:rsidRPr="00DB54A4" w:rsidRDefault="00C920C3" w:rsidP="00DB54A4">
      <w:pPr>
        <w:pStyle w:val="Prrafodelista"/>
        <w:numPr>
          <w:ilvl w:val="0"/>
          <w:numId w:val="27"/>
        </w:numPr>
        <w:tabs>
          <w:tab w:val="left" w:pos="2955"/>
        </w:tabs>
        <w:spacing w:line="360" w:lineRule="auto"/>
        <w:jc w:val="both"/>
        <w:rPr>
          <w:rFonts w:ascii="Times New Roman" w:hAnsi="Times New Roman" w:cs="Times New Roman"/>
          <w:b/>
          <w:sz w:val="24"/>
        </w:rPr>
      </w:pPr>
      <w:r w:rsidRPr="00DB54A4">
        <w:rPr>
          <w:rFonts w:ascii="Times New Roman" w:hAnsi="Times New Roman" w:cs="Times New Roman"/>
          <w:b/>
          <w:sz w:val="24"/>
        </w:rPr>
        <w:lastRenderedPageBreak/>
        <w:t>Remuneraciones</w:t>
      </w:r>
      <w:r w:rsidR="003D44ED" w:rsidRPr="00DB54A4">
        <w:rPr>
          <w:rFonts w:ascii="Times New Roman" w:hAnsi="Times New Roman" w:cs="Times New Roman"/>
          <w:b/>
          <w:sz w:val="24"/>
        </w:rPr>
        <w:t xml:space="preserve"> horarias reales</w:t>
      </w:r>
      <w:r w:rsidR="007B0447" w:rsidRPr="00DB54A4">
        <w:rPr>
          <w:rFonts w:ascii="Times New Roman" w:hAnsi="Times New Roman" w:cs="Times New Roman"/>
          <w:b/>
          <w:sz w:val="24"/>
        </w:rPr>
        <w:t xml:space="preserve"> </w:t>
      </w:r>
      <w:r w:rsidRPr="00DB54A4">
        <w:rPr>
          <w:rFonts w:ascii="Times New Roman" w:hAnsi="Times New Roman" w:cs="Times New Roman"/>
          <w:b/>
          <w:sz w:val="24"/>
        </w:rPr>
        <w:t>entre sectores productivos</w:t>
      </w:r>
    </w:p>
    <w:p w:rsidR="00DB4C58" w:rsidRDefault="008B15AD" w:rsidP="004B3FDA">
      <w:pPr>
        <w:pStyle w:val="Default"/>
        <w:spacing w:line="360" w:lineRule="auto"/>
        <w:ind w:firstLine="340"/>
        <w:jc w:val="both"/>
        <w:rPr>
          <w:rFonts w:ascii="Times New Roman" w:hAnsi="Times New Roman" w:cs="Times New Roman"/>
        </w:rPr>
      </w:pPr>
      <w:r w:rsidRPr="00124324">
        <w:rPr>
          <w:rFonts w:ascii="Times New Roman" w:hAnsi="Times New Roman" w:cs="Times New Roman"/>
        </w:rPr>
        <w:t>A lo largo de los apartados precedentes se ha podido observar la persistencia de la heterogeneidad de la estructura ocupacional</w:t>
      </w:r>
      <w:r w:rsidR="005D596F">
        <w:rPr>
          <w:rFonts w:ascii="Times New Roman" w:hAnsi="Times New Roman" w:cs="Times New Roman"/>
        </w:rPr>
        <w:t xml:space="preserve"> </w:t>
      </w:r>
      <w:r w:rsidRPr="00124324">
        <w:rPr>
          <w:rFonts w:ascii="Times New Roman" w:hAnsi="Times New Roman" w:cs="Times New Roman"/>
        </w:rPr>
        <w:t>y su funcionamiento segmentado. Como ya hemos destacado, esto apunta a una desigual concentración del progreso técnico, acentuando las brechas de productividad entre sectores y por lo tanto, en las remuneraciones horarias de la fuerza de trabajo</w:t>
      </w:r>
      <w:r w:rsidR="005D596F">
        <w:rPr>
          <w:rFonts w:ascii="Times New Roman" w:hAnsi="Times New Roman" w:cs="Times New Roman"/>
        </w:rPr>
        <w:t xml:space="preserve"> joven</w:t>
      </w:r>
      <w:r w:rsidRPr="00124324">
        <w:rPr>
          <w:rFonts w:ascii="Times New Roman" w:hAnsi="Times New Roman" w:cs="Times New Roman"/>
        </w:rPr>
        <w:t xml:space="preserve">. </w:t>
      </w:r>
    </w:p>
    <w:p w:rsidR="0054053B" w:rsidRDefault="005335D1" w:rsidP="007B12B1">
      <w:pPr>
        <w:tabs>
          <w:tab w:val="left" w:pos="2955"/>
        </w:tabs>
        <w:spacing w:line="360" w:lineRule="auto"/>
        <w:jc w:val="both"/>
        <w:rPr>
          <w:rFonts w:ascii="Times New Roman" w:hAnsi="Times New Roman" w:cs="Times New Roman"/>
          <w:sz w:val="24"/>
        </w:rPr>
      </w:pPr>
      <w:r>
        <w:rPr>
          <w:rFonts w:ascii="Times New Roman" w:hAnsi="Times New Roman" w:cs="Times New Roman"/>
          <w:sz w:val="24"/>
        </w:rPr>
        <w:t xml:space="preserve">Es de público conocimiento que </w:t>
      </w:r>
      <w:r w:rsidRPr="005335D1">
        <w:rPr>
          <w:rFonts w:ascii="Times New Roman" w:hAnsi="Times New Roman" w:cs="Times New Roman"/>
          <w:sz w:val="24"/>
        </w:rPr>
        <w:t xml:space="preserve">los jóvenes obtienen, en promedio, un salario </w:t>
      </w:r>
      <w:r>
        <w:rPr>
          <w:rFonts w:ascii="Times New Roman" w:hAnsi="Times New Roman" w:cs="Times New Roman"/>
          <w:sz w:val="24"/>
        </w:rPr>
        <w:t xml:space="preserve">mensual menor al de los adultos, esto ya se ha </w:t>
      </w:r>
      <w:r w:rsidRPr="005335D1">
        <w:rPr>
          <w:rFonts w:ascii="Times New Roman" w:hAnsi="Times New Roman" w:cs="Times New Roman"/>
          <w:sz w:val="24"/>
        </w:rPr>
        <w:t>observa</w:t>
      </w:r>
      <w:r w:rsidR="0054053B">
        <w:rPr>
          <w:rFonts w:ascii="Times New Roman" w:hAnsi="Times New Roman" w:cs="Times New Roman"/>
          <w:sz w:val="24"/>
        </w:rPr>
        <w:t>do</w:t>
      </w:r>
      <w:r>
        <w:rPr>
          <w:rFonts w:ascii="Times New Roman" w:hAnsi="Times New Roman" w:cs="Times New Roman"/>
          <w:sz w:val="24"/>
        </w:rPr>
        <w:t xml:space="preserve"> en </w:t>
      </w:r>
      <w:r w:rsidR="005D60EB">
        <w:rPr>
          <w:rFonts w:ascii="Times New Roman" w:hAnsi="Times New Roman" w:cs="Times New Roman"/>
          <w:sz w:val="24"/>
        </w:rPr>
        <w:t>Argentina</w:t>
      </w:r>
      <w:r>
        <w:rPr>
          <w:rFonts w:ascii="Times New Roman" w:hAnsi="Times New Roman" w:cs="Times New Roman"/>
          <w:sz w:val="24"/>
        </w:rPr>
        <w:t xml:space="preserve"> </w:t>
      </w:r>
      <w:r w:rsidRPr="005335D1">
        <w:rPr>
          <w:rFonts w:ascii="Times New Roman" w:hAnsi="Times New Roman" w:cs="Times New Roman"/>
          <w:sz w:val="24"/>
        </w:rPr>
        <w:t>y en América Latina (</w:t>
      </w:r>
      <w:proofErr w:type="spellStart"/>
      <w:r w:rsidRPr="005335D1">
        <w:rPr>
          <w:rFonts w:ascii="Times New Roman" w:hAnsi="Times New Roman" w:cs="Times New Roman"/>
          <w:sz w:val="24"/>
        </w:rPr>
        <w:t>Vezza</w:t>
      </w:r>
      <w:proofErr w:type="spellEnd"/>
      <w:r w:rsidRPr="005335D1">
        <w:rPr>
          <w:rFonts w:ascii="Times New Roman" w:hAnsi="Times New Roman" w:cs="Times New Roman"/>
          <w:sz w:val="24"/>
        </w:rPr>
        <w:t xml:space="preserve"> y </w:t>
      </w:r>
      <w:proofErr w:type="spellStart"/>
      <w:r w:rsidRPr="005335D1">
        <w:rPr>
          <w:rFonts w:ascii="Times New Roman" w:hAnsi="Times New Roman" w:cs="Times New Roman"/>
          <w:sz w:val="24"/>
        </w:rPr>
        <w:t>Bertranou</w:t>
      </w:r>
      <w:proofErr w:type="spellEnd"/>
      <w:r w:rsidRPr="005335D1">
        <w:rPr>
          <w:rFonts w:ascii="Times New Roman" w:hAnsi="Times New Roman" w:cs="Times New Roman"/>
          <w:sz w:val="24"/>
        </w:rPr>
        <w:t>, 2011</w:t>
      </w:r>
      <w:r>
        <w:rPr>
          <w:rFonts w:ascii="Times New Roman" w:hAnsi="Times New Roman" w:cs="Times New Roman"/>
          <w:sz w:val="24"/>
        </w:rPr>
        <w:t>, OIT, 2015</w:t>
      </w:r>
      <w:r w:rsidRPr="005335D1">
        <w:rPr>
          <w:rFonts w:ascii="Times New Roman" w:hAnsi="Times New Roman" w:cs="Times New Roman"/>
          <w:sz w:val="24"/>
        </w:rPr>
        <w:t>)</w:t>
      </w:r>
      <w:r>
        <w:rPr>
          <w:rStyle w:val="Refdenotaalpie"/>
          <w:rFonts w:ascii="Times New Roman" w:hAnsi="Times New Roman" w:cs="Times New Roman"/>
          <w:sz w:val="24"/>
        </w:rPr>
        <w:footnoteReference w:id="17"/>
      </w:r>
      <w:r>
        <w:rPr>
          <w:rFonts w:ascii="Times New Roman" w:hAnsi="Times New Roman" w:cs="Times New Roman"/>
          <w:sz w:val="24"/>
        </w:rPr>
        <w:t xml:space="preserve">, y no se debe solamente a los distintos niveles educativos, sino a la experiencia y entrenamiento </w:t>
      </w:r>
      <w:r w:rsidR="00DB4C58">
        <w:rPr>
          <w:rFonts w:ascii="Times New Roman" w:hAnsi="Times New Roman" w:cs="Times New Roman"/>
          <w:sz w:val="24"/>
        </w:rPr>
        <w:t xml:space="preserve">laboral, entre otros factores. </w:t>
      </w:r>
    </w:p>
    <w:p w:rsidR="00400524" w:rsidRDefault="00224440" w:rsidP="004B3FDA">
      <w:pPr>
        <w:pStyle w:val="Default"/>
        <w:spacing w:line="360" w:lineRule="auto"/>
        <w:ind w:firstLine="340"/>
        <w:jc w:val="both"/>
        <w:rPr>
          <w:rFonts w:ascii="Times New Roman" w:hAnsi="Times New Roman" w:cs="Times New Roman"/>
        </w:rPr>
      </w:pPr>
      <w:r w:rsidRPr="004B3FDA">
        <w:rPr>
          <w:rFonts w:ascii="Times New Roman" w:hAnsi="Times New Roman" w:cs="Times New Roman"/>
        </w:rPr>
        <w:t>Como se observa en el</w:t>
      </w:r>
      <w:r w:rsidR="008B15AD" w:rsidRPr="004B3FDA">
        <w:rPr>
          <w:rFonts w:ascii="Times New Roman" w:hAnsi="Times New Roman" w:cs="Times New Roman"/>
        </w:rPr>
        <w:t xml:space="preserve"> </w:t>
      </w:r>
      <w:r w:rsidR="007B2614" w:rsidRPr="004B3FDA">
        <w:rPr>
          <w:rFonts w:ascii="Times New Roman" w:hAnsi="Times New Roman" w:cs="Times New Roman"/>
        </w:rPr>
        <w:t>Cuadro nº 2</w:t>
      </w:r>
      <w:r w:rsidR="00FA0549" w:rsidRPr="004B3FDA">
        <w:rPr>
          <w:rFonts w:ascii="Times New Roman" w:hAnsi="Times New Roman" w:cs="Times New Roman"/>
        </w:rPr>
        <w:t xml:space="preserve">, el análisis de la evolución de las </w:t>
      </w:r>
      <w:r w:rsidR="00A04764" w:rsidRPr="004B3FDA">
        <w:rPr>
          <w:rFonts w:ascii="Times New Roman" w:hAnsi="Times New Roman" w:cs="Times New Roman"/>
        </w:rPr>
        <w:t>remuneraciones</w:t>
      </w:r>
      <w:r w:rsidR="00FA0549" w:rsidRPr="004B3FDA">
        <w:rPr>
          <w:rFonts w:ascii="Times New Roman" w:hAnsi="Times New Roman" w:cs="Times New Roman"/>
        </w:rPr>
        <w:t xml:space="preserve"> horaria</w:t>
      </w:r>
      <w:r w:rsidR="00A04764" w:rsidRPr="004B3FDA">
        <w:rPr>
          <w:rFonts w:ascii="Times New Roman" w:hAnsi="Times New Roman" w:cs="Times New Roman"/>
        </w:rPr>
        <w:t>s</w:t>
      </w:r>
      <w:r w:rsidR="00FA0549">
        <w:rPr>
          <w:rFonts w:ascii="Times New Roman" w:hAnsi="Times New Roman" w:cs="Times New Roman"/>
        </w:rPr>
        <w:t xml:space="preserve"> real</w:t>
      </w:r>
      <w:r w:rsidR="00A04764">
        <w:rPr>
          <w:rFonts w:ascii="Times New Roman" w:hAnsi="Times New Roman" w:cs="Times New Roman"/>
        </w:rPr>
        <w:t>es</w:t>
      </w:r>
      <w:r w:rsidR="00FA0549">
        <w:rPr>
          <w:rFonts w:ascii="Times New Roman" w:hAnsi="Times New Roman" w:cs="Times New Roman"/>
        </w:rPr>
        <w:t xml:space="preserve"> </w:t>
      </w:r>
      <w:r w:rsidR="0054053B">
        <w:rPr>
          <w:rFonts w:ascii="Times New Roman" w:hAnsi="Times New Roman" w:cs="Times New Roman"/>
        </w:rPr>
        <w:t xml:space="preserve">de punta a punta </w:t>
      </w:r>
      <w:r w:rsidR="00FA0549">
        <w:rPr>
          <w:rFonts w:ascii="Times New Roman" w:hAnsi="Times New Roman" w:cs="Times New Roman"/>
        </w:rPr>
        <w:t>evidencia la superioridad del sector formal y público respecto al IMT y la inferioridad del sector micr</w:t>
      </w:r>
      <w:r w:rsidR="003D44ED">
        <w:rPr>
          <w:rFonts w:ascii="Times New Roman" w:hAnsi="Times New Roman" w:cs="Times New Roman"/>
        </w:rPr>
        <w:t>o informal en este mismo sentido</w:t>
      </w:r>
      <w:r w:rsidR="007D4386">
        <w:rPr>
          <w:rFonts w:ascii="Times New Roman" w:hAnsi="Times New Roman" w:cs="Times New Roman"/>
        </w:rPr>
        <w:t xml:space="preserve">. Durante el periodo neoliberal de la convertibilidad se observa la superioridad del sector privado formal por sobre el público y el micro informal, mientras que posterior a la crisis se asemejan las remuneraciones del sector formal privado y público. </w:t>
      </w:r>
    </w:p>
    <w:p w:rsidR="004B3FDA" w:rsidRDefault="004B3FDA" w:rsidP="004B3FDA">
      <w:pPr>
        <w:pStyle w:val="Default"/>
        <w:spacing w:line="360" w:lineRule="auto"/>
        <w:ind w:firstLine="340"/>
        <w:jc w:val="both"/>
        <w:rPr>
          <w:rFonts w:ascii="Times New Roman" w:hAnsi="Times New Roman" w:cs="Times New Roman"/>
        </w:rPr>
      </w:pPr>
    </w:p>
    <w:p w:rsidR="002F6FD2" w:rsidRDefault="002F6FD2" w:rsidP="004B3FDA">
      <w:pPr>
        <w:pStyle w:val="Default"/>
        <w:spacing w:line="360" w:lineRule="auto"/>
        <w:ind w:firstLine="340"/>
        <w:jc w:val="both"/>
        <w:rPr>
          <w:rFonts w:ascii="Times New Roman" w:hAnsi="Times New Roman" w:cs="Times New Roman"/>
        </w:rPr>
      </w:pPr>
    </w:p>
    <w:p w:rsidR="004B3FDA" w:rsidRDefault="004B3FDA" w:rsidP="004B3FDA">
      <w:pPr>
        <w:pStyle w:val="Default"/>
        <w:spacing w:line="360" w:lineRule="auto"/>
        <w:ind w:firstLine="340"/>
        <w:jc w:val="both"/>
        <w:rPr>
          <w:rFonts w:ascii="Times New Roman" w:hAnsi="Times New Roman" w:cs="Times New Roman"/>
        </w:rPr>
      </w:pPr>
    </w:p>
    <w:p w:rsidR="004B3FDA" w:rsidRDefault="004B3FDA" w:rsidP="004B3FDA">
      <w:pPr>
        <w:pStyle w:val="Default"/>
        <w:spacing w:line="360" w:lineRule="auto"/>
        <w:ind w:firstLine="340"/>
        <w:jc w:val="both"/>
        <w:rPr>
          <w:rFonts w:ascii="Times New Roman" w:hAnsi="Times New Roman" w:cs="Times New Roman"/>
        </w:rPr>
      </w:pPr>
    </w:p>
    <w:p w:rsidR="004B3FDA" w:rsidRDefault="004B3FDA" w:rsidP="004B3FDA">
      <w:pPr>
        <w:pStyle w:val="Default"/>
        <w:spacing w:line="360" w:lineRule="auto"/>
        <w:ind w:firstLine="340"/>
        <w:jc w:val="both"/>
        <w:rPr>
          <w:rFonts w:ascii="Times New Roman" w:hAnsi="Times New Roman" w:cs="Times New Roman"/>
        </w:rPr>
      </w:pPr>
    </w:p>
    <w:p w:rsidR="004B3FDA" w:rsidRDefault="004B3FDA" w:rsidP="004B3FDA">
      <w:pPr>
        <w:pStyle w:val="Default"/>
        <w:spacing w:line="360" w:lineRule="auto"/>
        <w:ind w:firstLine="340"/>
        <w:jc w:val="both"/>
        <w:rPr>
          <w:rFonts w:ascii="Times New Roman" w:hAnsi="Times New Roman" w:cs="Times New Roman"/>
        </w:rPr>
      </w:pPr>
    </w:p>
    <w:p w:rsidR="004B3FDA" w:rsidRDefault="004B3FDA" w:rsidP="004B3FDA">
      <w:pPr>
        <w:pStyle w:val="Default"/>
        <w:spacing w:line="360" w:lineRule="auto"/>
        <w:ind w:firstLine="340"/>
        <w:jc w:val="both"/>
        <w:rPr>
          <w:rFonts w:ascii="Times New Roman" w:hAnsi="Times New Roman" w:cs="Times New Roman"/>
        </w:rPr>
      </w:pPr>
    </w:p>
    <w:p w:rsidR="004B3FDA" w:rsidRDefault="004B3FDA" w:rsidP="004B3FDA">
      <w:pPr>
        <w:pStyle w:val="Default"/>
        <w:spacing w:line="360" w:lineRule="auto"/>
        <w:ind w:firstLine="340"/>
        <w:jc w:val="both"/>
        <w:rPr>
          <w:rFonts w:ascii="Times New Roman" w:hAnsi="Times New Roman" w:cs="Times New Roman"/>
        </w:rPr>
      </w:pPr>
    </w:p>
    <w:p w:rsidR="004B3FDA" w:rsidRDefault="004B3FDA" w:rsidP="004B3FDA">
      <w:pPr>
        <w:pStyle w:val="Default"/>
        <w:spacing w:line="360" w:lineRule="auto"/>
        <w:ind w:firstLine="340"/>
        <w:jc w:val="both"/>
        <w:rPr>
          <w:rFonts w:ascii="Times New Roman" w:hAnsi="Times New Roman" w:cs="Times New Roman"/>
        </w:rPr>
      </w:pPr>
    </w:p>
    <w:p w:rsidR="00CA25A3" w:rsidRDefault="00CA25A3" w:rsidP="004B3FDA">
      <w:pPr>
        <w:pStyle w:val="Default"/>
        <w:spacing w:line="360" w:lineRule="auto"/>
        <w:ind w:firstLine="340"/>
        <w:jc w:val="both"/>
        <w:rPr>
          <w:rFonts w:ascii="Times New Roman" w:hAnsi="Times New Roman" w:cs="Times New Roman"/>
        </w:rPr>
      </w:pPr>
    </w:p>
    <w:p w:rsidR="004B3FDA" w:rsidRDefault="004B3FDA" w:rsidP="004B3FDA">
      <w:pPr>
        <w:pStyle w:val="Default"/>
        <w:spacing w:line="360" w:lineRule="auto"/>
        <w:ind w:firstLine="340"/>
        <w:jc w:val="both"/>
        <w:rPr>
          <w:rFonts w:ascii="Times New Roman" w:hAnsi="Times New Roman" w:cs="Times New Roman"/>
        </w:rPr>
      </w:pPr>
    </w:p>
    <w:p w:rsidR="004B3FDA" w:rsidRDefault="004B3FDA" w:rsidP="004B3FDA">
      <w:pPr>
        <w:pStyle w:val="Default"/>
        <w:spacing w:line="360" w:lineRule="auto"/>
        <w:ind w:firstLine="340"/>
        <w:jc w:val="both"/>
        <w:rPr>
          <w:rFonts w:ascii="Times New Roman" w:hAnsi="Times New Roman" w:cs="Times New Roman"/>
        </w:rPr>
      </w:pPr>
    </w:p>
    <w:p w:rsidR="00555EC9" w:rsidRPr="00DB54A4" w:rsidRDefault="007B2614" w:rsidP="0054053B">
      <w:pPr>
        <w:spacing w:after="0" w:line="240" w:lineRule="auto"/>
        <w:jc w:val="both"/>
        <w:rPr>
          <w:rFonts w:ascii="Times New Roman" w:eastAsia="Times New Roman" w:hAnsi="Times New Roman" w:cs="Times New Roman"/>
          <w:sz w:val="20"/>
          <w:szCs w:val="20"/>
          <w:lang w:eastAsia="es-AR"/>
        </w:rPr>
      </w:pPr>
      <w:r w:rsidRPr="00402901">
        <w:rPr>
          <w:rFonts w:ascii="Times New Roman" w:eastAsia="Times New Roman" w:hAnsi="Times New Roman" w:cs="Times New Roman"/>
          <w:szCs w:val="20"/>
          <w:lang w:eastAsia="es-AR"/>
        </w:rPr>
        <w:lastRenderedPageBreak/>
        <w:t>Cuadro n° 2</w:t>
      </w:r>
      <w:r w:rsidR="008F42CC" w:rsidRPr="00402901">
        <w:rPr>
          <w:rFonts w:ascii="Times New Roman" w:eastAsia="Times New Roman" w:hAnsi="Times New Roman" w:cs="Times New Roman"/>
          <w:szCs w:val="20"/>
          <w:lang w:eastAsia="es-AR"/>
        </w:rPr>
        <w:t xml:space="preserve">: Remuneración horaria real por segmento del mercado de trabajo según sectores económico ocupacionales. Jóvenes 18 a 29 años, </w:t>
      </w:r>
      <w:r w:rsidR="005316BB" w:rsidRPr="00402901">
        <w:rPr>
          <w:rFonts w:ascii="Times New Roman" w:eastAsia="Times New Roman" w:hAnsi="Times New Roman" w:cs="Times New Roman"/>
          <w:szCs w:val="20"/>
          <w:lang w:eastAsia="es-AR"/>
        </w:rPr>
        <w:t>GBA</w:t>
      </w:r>
      <w:r w:rsidR="008F42CC" w:rsidRPr="00402901">
        <w:rPr>
          <w:rFonts w:ascii="Times New Roman" w:eastAsia="Times New Roman" w:hAnsi="Times New Roman" w:cs="Times New Roman"/>
          <w:szCs w:val="20"/>
          <w:lang w:eastAsia="es-AR"/>
        </w:rPr>
        <w:t>: 1992-2014.  Promedio en pesos del cuarto trimestre de 2014</w:t>
      </w:r>
      <w:r w:rsidR="008F42CC" w:rsidRPr="00DB54A4">
        <w:rPr>
          <w:rFonts w:ascii="Times New Roman" w:eastAsia="Times New Roman" w:hAnsi="Times New Roman" w:cs="Times New Roman"/>
          <w:sz w:val="20"/>
          <w:szCs w:val="20"/>
          <w:lang w:eastAsia="es-AR"/>
        </w:rPr>
        <w:t>.</w:t>
      </w:r>
      <w:r w:rsidR="00946C67" w:rsidRPr="00DB54A4">
        <w:rPr>
          <w:rStyle w:val="Refdenotaalpie"/>
          <w:rFonts w:ascii="Times New Roman" w:eastAsia="Times New Roman" w:hAnsi="Times New Roman" w:cs="Times New Roman"/>
          <w:sz w:val="20"/>
          <w:szCs w:val="20"/>
          <w:lang w:eastAsia="es-AR"/>
        </w:rPr>
        <w:footnoteReference w:id="18"/>
      </w:r>
    </w:p>
    <w:tbl>
      <w:tblPr>
        <w:tblW w:w="9071"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163"/>
        <w:gridCol w:w="640"/>
        <w:gridCol w:w="640"/>
        <w:gridCol w:w="640"/>
        <w:gridCol w:w="640"/>
        <w:gridCol w:w="788"/>
        <w:gridCol w:w="640"/>
        <w:gridCol w:w="640"/>
        <w:gridCol w:w="640"/>
        <w:gridCol w:w="640"/>
      </w:tblGrid>
      <w:tr w:rsidR="008F42CC" w:rsidRPr="008F42CC" w:rsidTr="004B3FDA">
        <w:trPr>
          <w:trHeight w:val="300"/>
          <w:jc w:val="center"/>
        </w:trPr>
        <w:tc>
          <w:tcPr>
            <w:tcW w:w="3163" w:type="dxa"/>
            <w:tcBorders>
              <w:top w:val="single" w:sz="4" w:space="0" w:color="auto"/>
              <w:bottom w:val="single" w:sz="4" w:space="0" w:color="auto"/>
              <w:right w:val="single" w:sz="4" w:space="0" w:color="auto"/>
            </w:tcBorders>
            <w:shd w:val="clear" w:color="auto" w:fill="auto"/>
            <w:noWrap/>
            <w:vAlign w:val="bottom"/>
            <w:hideMark/>
          </w:tcPr>
          <w:p w:rsidR="008F42CC" w:rsidRPr="008F42CC" w:rsidRDefault="008F42CC" w:rsidP="008F42CC">
            <w:pPr>
              <w:spacing w:after="0" w:line="240" w:lineRule="auto"/>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 </w:t>
            </w:r>
          </w:p>
        </w:tc>
        <w:tc>
          <w:tcPr>
            <w:tcW w:w="1920" w:type="dxa"/>
            <w:gridSpan w:val="3"/>
            <w:tcBorders>
              <w:top w:val="single" w:sz="4" w:space="0" w:color="auto"/>
              <w:left w:val="single" w:sz="4" w:space="0" w:color="auto"/>
              <w:bottom w:val="single" w:sz="4" w:space="0" w:color="auto"/>
            </w:tcBorders>
            <w:shd w:val="clear" w:color="auto" w:fill="auto"/>
            <w:vAlign w:val="bottom"/>
            <w:hideMark/>
          </w:tcPr>
          <w:p w:rsidR="008F42CC" w:rsidRPr="008F42CC" w:rsidRDefault="008F42CC" w:rsidP="008F42CC">
            <w:pPr>
              <w:spacing w:after="0" w:line="240" w:lineRule="auto"/>
              <w:jc w:val="center"/>
              <w:rPr>
                <w:rFonts w:ascii="Times New Roman" w:eastAsia="Times New Roman" w:hAnsi="Times New Roman" w:cs="Times New Roman"/>
                <w:b/>
                <w:color w:val="000000"/>
                <w:sz w:val="20"/>
                <w:szCs w:val="20"/>
                <w:lang w:eastAsia="es-AR"/>
              </w:rPr>
            </w:pPr>
            <w:r w:rsidRPr="008F42CC">
              <w:rPr>
                <w:rFonts w:ascii="Times New Roman" w:eastAsia="Times New Roman" w:hAnsi="Times New Roman" w:cs="Times New Roman"/>
                <w:b/>
                <w:color w:val="000000"/>
                <w:sz w:val="20"/>
                <w:szCs w:val="20"/>
                <w:lang w:eastAsia="es-AR"/>
              </w:rPr>
              <w:t>Convertibilidad</w:t>
            </w:r>
          </w:p>
        </w:tc>
        <w:tc>
          <w:tcPr>
            <w:tcW w:w="640" w:type="dxa"/>
            <w:tcBorders>
              <w:top w:val="single" w:sz="4" w:space="0" w:color="auto"/>
              <w:bottom w:val="single" w:sz="4" w:space="0" w:color="auto"/>
            </w:tcBorders>
            <w:shd w:val="clear" w:color="auto" w:fill="auto"/>
            <w:vAlign w:val="bottom"/>
            <w:hideMark/>
          </w:tcPr>
          <w:p w:rsidR="008F42CC" w:rsidRPr="008F42CC" w:rsidRDefault="008F42CC" w:rsidP="008F42CC">
            <w:pPr>
              <w:spacing w:after="0" w:line="240" w:lineRule="auto"/>
              <w:jc w:val="center"/>
              <w:rPr>
                <w:rFonts w:ascii="Times New Roman" w:eastAsia="Times New Roman" w:hAnsi="Times New Roman" w:cs="Times New Roman"/>
                <w:b/>
                <w:color w:val="000000"/>
                <w:sz w:val="20"/>
                <w:szCs w:val="20"/>
                <w:lang w:eastAsia="es-AR"/>
              </w:rPr>
            </w:pPr>
            <w:r w:rsidRPr="008F42CC">
              <w:rPr>
                <w:rFonts w:ascii="Times New Roman" w:eastAsia="Times New Roman" w:hAnsi="Times New Roman" w:cs="Times New Roman"/>
                <w:b/>
                <w:color w:val="000000"/>
                <w:sz w:val="20"/>
                <w:szCs w:val="20"/>
                <w:lang w:eastAsia="es-AR"/>
              </w:rPr>
              <w:t xml:space="preserve">Pre </w:t>
            </w:r>
            <w:r w:rsidRPr="008F42CC">
              <w:rPr>
                <w:rFonts w:ascii="Times New Roman" w:eastAsia="Times New Roman" w:hAnsi="Times New Roman" w:cs="Times New Roman"/>
                <w:b/>
                <w:color w:val="000000"/>
                <w:sz w:val="20"/>
                <w:szCs w:val="20"/>
                <w:lang w:eastAsia="es-AR"/>
              </w:rPr>
              <w:br/>
              <w:t>Crisis</w:t>
            </w:r>
          </w:p>
        </w:tc>
        <w:tc>
          <w:tcPr>
            <w:tcW w:w="788" w:type="dxa"/>
            <w:tcBorders>
              <w:top w:val="single" w:sz="4" w:space="0" w:color="auto"/>
              <w:bottom w:val="single" w:sz="4" w:space="0" w:color="auto"/>
            </w:tcBorders>
            <w:shd w:val="clear" w:color="auto" w:fill="auto"/>
            <w:vAlign w:val="bottom"/>
            <w:hideMark/>
          </w:tcPr>
          <w:p w:rsidR="008F42CC" w:rsidRPr="008F42CC" w:rsidRDefault="008F42CC" w:rsidP="008F42CC">
            <w:pPr>
              <w:spacing w:after="0" w:line="240" w:lineRule="auto"/>
              <w:jc w:val="center"/>
              <w:rPr>
                <w:rFonts w:ascii="Times New Roman" w:eastAsia="Times New Roman" w:hAnsi="Times New Roman" w:cs="Times New Roman"/>
                <w:b/>
                <w:color w:val="000000"/>
                <w:sz w:val="20"/>
                <w:szCs w:val="20"/>
                <w:lang w:eastAsia="es-AR"/>
              </w:rPr>
            </w:pPr>
            <w:r w:rsidRPr="008F42CC">
              <w:rPr>
                <w:rFonts w:ascii="Times New Roman" w:eastAsia="Times New Roman" w:hAnsi="Times New Roman" w:cs="Times New Roman"/>
                <w:b/>
                <w:color w:val="000000"/>
                <w:sz w:val="20"/>
                <w:szCs w:val="20"/>
                <w:lang w:eastAsia="es-AR"/>
              </w:rPr>
              <w:t>Post Crisis</w:t>
            </w:r>
          </w:p>
        </w:tc>
        <w:tc>
          <w:tcPr>
            <w:tcW w:w="2560" w:type="dxa"/>
            <w:gridSpan w:val="4"/>
            <w:tcBorders>
              <w:top w:val="single" w:sz="4" w:space="0" w:color="auto"/>
              <w:bottom w:val="single" w:sz="4" w:space="0" w:color="auto"/>
            </w:tcBorders>
            <w:shd w:val="clear" w:color="auto" w:fill="auto"/>
            <w:vAlign w:val="bottom"/>
            <w:hideMark/>
          </w:tcPr>
          <w:p w:rsidR="008F42CC" w:rsidRPr="008F42CC" w:rsidRDefault="008F42CC" w:rsidP="008F42CC">
            <w:pPr>
              <w:spacing w:after="0" w:line="240" w:lineRule="auto"/>
              <w:jc w:val="center"/>
              <w:rPr>
                <w:rFonts w:ascii="Times New Roman" w:eastAsia="Times New Roman" w:hAnsi="Times New Roman" w:cs="Times New Roman"/>
                <w:b/>
                <w:color w:val="000000"/>
                <w:sz w:val="20"/>
                <w:szCs w:val="20"/>
                <w:lang w:eastAsia="es-AR"/>
              </w:rPr>
            </w:pPr>
            <w:r w:rsidRPr="008F42CC">
              <w:rPr>
                <w:rFonts w:ascii="Times New Roman" w:eastAsia="Times New Roman" w:hAnsi="Times New Roman" w:cs="Times New Roman"/>
                <w:b/>
                <w:color w:val="000000"/>
                <w:sz w:val="20"/>
                <w:szCs w:val="20"/>
                <w:lang w:eastAsia="es-AR"/>
              </w:rPr>
              <w:t>Pos</w:t>
            </w:r>
            <w:r>
              <w:rPr>
                <w:rFonts w:ascii="Times New Roman" w:eastAsia="Times New Roman" w:hAnsi="Times New Roman" w:cs="Times New Roman"/>
                <w:b/>
                <w:color w:val="000000"/>
                <w:sz w:val="20"/>
                <w:szCs w:val="20"/>
                <w:lang w:eastAsia="es-AR"/>
              </w:rPr>
              <w:t xml:space="preserve">t </w:t>
            </w:r>
            <w:r w:rsidRPr="008F42CC">
              <w:rPr>
                <w:rFonts w:ascii="Times New Roman" w:eastAsia="Times New Roman" w:hAnsi="Times New Roman" w:cs="Times New Roman"/>
                <w:b/>
                <w:color w:val="000000"/>
                <w:sz w:val="20"/>
                <w:szCs w:val="20"/>
                <w:lang w:eastAsia="es-AR"/>
              </w:rPr>
              <w:t>convertibilidad</w:t>
            </w:r>
          </w:p>
        </w:tc>
      </w:tr>
      <w:tr w:rsidR="008F42CC" w:rsidRPr="008F42CC" w:rsidTr="004B3FDA">
        <w:trPr>
          <w:trHeight w:val="300"/>
          <w:jc w:val="center"/>
        </w:trPr>
        <w:tc>
          <w:tcPr>
            <w:tcW w:w="3163" w:type="dxa"/>
            <w:tcBorders>
              <w:top w:val="single" w:sz="4" w:space="0" w:color="auto"/>
              <w:bottom w:val="nil"/>
              <w:right w:val="single" w:sz="4" w:space="0" w:color="auto"/>
            </w:tcBorders>
            <w:shd w:val="clear" w:color="auto" w:fill="auto"/>
            <w:noWrap/>
            <w:vAlign w:val="bottom"/>
            <w:hideMark/>
          </w:tcPr>
          <w:p w:rsidR="008F42CC" w:rsidRPr="008F42CC" w:rsidRDefault="008F42CC" w:rsidP="008F42CC">
            <w:pPr>
              <w:spacing w:after="0" w:line="240" w:lineRule="auto"/>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 </w:t>
            </w:r>
          </w:p>
        </w:tc>
        <w:tc>
          <w:tcPr>
            <w:tcW w:w="640" w:type="dxa"/>
            <w:tcBorders>
              <w:top w:val="single" w:sz="4" w:space="0" w:color="auto"/>
              <w:left w:val="single" w:sz="4" w:space="0" w:color="auto"/>
            </w:tcBorders>
            <w:shd w:val="clear" w:color="auto" w:fill="auto"/>
            <w:vAlign w:val="bottom"/>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1992</w:t>
            </w:r>
          </w:p>
        </w:tc>
        <w:tc>
          <w:tcPr>
            <w:tcW w:w="640" w:type="dxa"/>
            <w:tcBorders>
              <w:top w:val="single" w:sz="4" w:space="0" w:color="auto"/>
            </w:tcBorders>
            <w:shd w:val="clear" w:color="auto" w:fill="auto"/>
            <w:vAlign w:val="bottom"/>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1994</w:t>
            </w:r>
          </w:p>
        </w:tc>
        <w:tc>
          <w:tcPr>
            <w:tcW w:w="640" w:type="dxa"/>
            <w:tcBorders>
              <w:top w:val="single" w:sz="4" w:space="0" w:color="auto"/>
            </w:tcBorders>
            <w:shd w:val="clear" w:color="auto" w:fill="auto"/>
            <w:vAlign w:val="bottom"/>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1998</w:t>
            </w:r>
          </w:p>
        </w:tc>
        <w:tc>
          <w:tcPr>
            <w:tcW w:w="640" w:type="dxa"/>
            <w:tcBorders>
              <w:top w:val="single" w:sz="4" w:space="0" w:color="auto"/>
            </w:tcBorders>
            <w:shd w:val="clear" w:color="auto" w:fill="auto"/>
            <w:vAlign w:val="bottom"/>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2001</w:t>
            </w:r>
          </w:p>
        </w:tc>
        <w:tc>
          <w:tcPr>
            <w:tcW w:w="788" w:type="dxa"/>
            <w:tcBorders>
              <w:top w:val="single" w:sz="4" w:space="0" w:color="auto"/>
            </w:tcBorders>
            <w:shd w:val="clear" w:color="auto" w:fill="auto"/>
            <w:vAlign w:val="bottom"/>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2003</w:t>
            </w:r>
          </w:p>
        </w:tc>
        <w:tc>
          <w:tcPr>
            <w:tcW w:w="640" w:type="dxa"/>
            <w:tcBorders>
              <w:top w:val="single" w:sz="4" w:space="0" w:color="auto"/>
            </w:tcBorders>
            <w:shd w:val="clear" w:color="auto" w:fill="auto"/>
            <w:vAlign w:val="bottom"/>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2004</w:t>
            </w:r>
          </w:p>
        </w:tc>
        <w:tc>
          <w:tcPr>
            <w:tcW w:w="640" w:type="dxa"/>
            <w:tcBorders>
              <w:top w:val="single" w:sz="4" w:space="0" w:color="auto"/>
            </w:tcBorders>
            <w:shd w:val="clear" w:color="auto" w:fill="auto"/>
            <w:vAlign w:val="bottom"/>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2007</w:t>
            </w:r>
          </w:p>
        </w:tc>
        <w:tc>
          <w:tcPr>
            <w:tcW w:w="640" w:type="dxa"/>
            <w:tcBorders>
              <w:top w:val="single" w:sz="4" w:space="0" w:color="auto"/>
            </w:tcBorders>
            <w:shd w:val="clear" w:color="auto" w:fill="auto"/>
            <w:vAlign w:val="bottom"/>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2012</w:t>
            </w:r>
          </w:p>
        </w:tc>
        <w:tc>
          <w:tcPr>
            <w:tcW w:w="640" w:type="dxa"/>
            <w:tcBorders>
              <w:top w:val="single" w:sz="4" w:space="0" w:color="auto"/>
            </w:tcBorders>
            <w:shd w:val="clear" w:color="auto" w:fill="auto"/>
            <w:vAlign w:val="bottom"/>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2014</w:t>
            </w:r>
          </w:p>
        </w:tc>
      </w:tr>
      <w:tr w:rsidR="008F42CC" w:rsidRPr="008F42CC" w:rsidTr="004B3FDA">
        <w:trPr>
          <w:trHeight w:val="288"/>
          <w:jc w:val="center"/>
        </w:trPr>
        <w:tc>
          <w:tcPr>
            <w:tcW w:w="3163" w:type="dxa"/>
            <w:tcBorders>
              <w:top w:val="nil"/>
              <w:bottom w:val="nil"/>
              <w:right w:val="single" w:sz="4" w:space="0" w:color="auto"/>
            </w:tcBorders>
            <w:shd w:val="clear" w:color="auto" w:fill="auto"/>
            <w:noWrap/>
            <w:vAlign w:val="bottom"/>
            <w:hideMark/>
          </w:tcPr>
          <w:p w:rsidR="008F42CC" w:rsidRPr="008F42CC" w:rsidRDefault="008F42CC" w:rsidP="008F42CC">
            <w:pPr>
              <w:spacing w:after="0" w:line="240" w:lineRule="auto"/>
              <w:rPr>
                <w:rFonts w:ascii="Times New Roman" w:eastAsia="Times New Roman" w:hAnsi="Times New Roman" w:cs="Times New Roman"/>
                <w:b/>
                <w:bCs/>
                <w:sz w:val="20"/>
                <w:szCs w:val="20"/>
                <w:lang w:eastAsia="es-AR"/>
              </w:rPr>
            </w:pPr>
            <w:r w:rsidRPr="008F42CC">
              <w:rPr>
                <w:rFonts w:ascii="Times New Roman" w:eastAsia="Times New Roman" w:hAnsi="Times New Roman" w:cs="Times New Roman"/>
                <w:b/>
                <w:bCs/>
                <w:sz w:val="20"/>
                <w:szCs w:val="20"/>
                <w:lang w:eastAsia="es-AR"/>
              </w:rPr>
              <w:t>Sector formal</w:t>
            </w:r>
          </w:p>
        </w:tc>
        <w:tc>
          <w:tcPr>
            <w:tcW w:w="640" w:type="dxa"/>
            <w:tcBorders>
              <w:left w:val="single" w:sz="4" w:space="0" w:color="auto"/>
            </w:tcBorders>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33,6</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35,9</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32,2</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30,5</w:t>
            </w:r>
          </w:p>
        </w:tc>
        <w:tc>
          <w:tcPr>
            <w:tcW w:w="788"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sz w:val="20"/>
                <w:szCs w:val="20"/>
                <w:lang w:eastAsia="es-AR"/>
              </w:rPr>
            </w:pPr>
            <w:r w:rsidRPr="008F42CC">
              <w:rPr>
                <w:rFonts w:ascii="Times New Roman" w:eastAsia="Times New Roman" w:hAnsi="Times New Roman" w:cs="Times New Roman"/>
                <w:b/>
                <w:bCs/>
                <w:sz w:val="20"/>
                <w:szCs w:val="20"/>
                <w:lang w:eastAsia="es-AR"/>
              </w:rPr>
              <w:t>27,5</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30,4</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32,2</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33,1</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32,9</w:t>
            </w:r>
          </w:p>
        </w:tc>
      </w:tr>
      <w:tr w:rsidR="008F42CC" w:rsidRPr="008F42CC" w:rsidTr="004B3FDA">
        <w:trPr>
          <w:trHeight w:val="288"/>
          <w:jc w:val="center"/>
        </w:trPr>
        <w:tc>
          <w:tcPr>
            <w:tcW w:w="3163" w:type="dxa"/>
            <w:tcBorders>
              <w:top w:val="nil"/>
              <w:bottom w:val="nil"/>
              <w:right w:val="single" w:sz="4" w:space="0" w:color="auto"/>
            </w:tcBorders>
            <w:shd w:val="clear" w:color="auto" w:fill="auto"/>
            <w:noWrap/>
            <w:vAlign w:val="bottom"/>
            <w:hideMark/>
          </w:tcPr>
          <w:p w:rsidR="008F42CC" w:rsidRPr="008F42CC" w:rsidRDefault="008F42CC" w:rsidP="008F42CC">
            <w:pPr>
              <w:spacing w:after="0" w:line="240" w:lineRule="auto"/>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Regulado</w:t>
            </w:r>
          </w:p>
        </w:tc>
        <w:tc>
          <w:tcPr>
            <w:tcW w:w="640" w:type="dxa"/>
            <w:tcBorders>
              <w:left w:val="single" w:sz="4" w:space="0" w:color="auto"/>
            </w:tcBorders>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38,6</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41,6</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37,2</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36,1</w:t>
            </w:r>
          </w:p>
        </w:tc>
        <w:tc>
          <w:tcPr>
            <w:tcW w:w="788"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33,5</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33,7</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35,9</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37,3</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37,4</w:t>
            </w:r>
          </w:p>
        </w:tc>
      </w:tr>
      <w:tr w:rsidR="008F42CC" w:rsidRPr="008F42CC" w:rsidTr="004B3FDA">
        <w:trPr>
          <w:trHeight w:val="300"/>
          <w:jc w:val="center"/>
        </w:trPr>
        <w:tc>
          <w:tcPr>
            <w:tcW w:w="3163" w:type="dxa"/>
            <w:tcBorders>
              <w:top w:val="nil"/>
              <w:bottom w:val="nil"/>
              <w:right w:val="single" w:sz="4" w:space="0" w:color="auto"/>
            </w:tcBorders>
            <w:shd w:val="clear" w:color="auto" w:fill="auto"/>
            <w:noWrap/>
            <w:vAlign w:val="bottom"/>
            <w:hideMark/>
          </w:tcPr>
          <w:p w:rsidR="008F42CC" w:rsidRPr="008F42CC" w:rsidRDefault="008F42CC" w:rsidP="008F42CC">
            <w:pPr>
              <w:spacing w:after="0" w:line="240" w:lineRule="auto"/>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No regulado</w:t>
            </w:r>
          </w:p>
        </w:tc>
        <w:tc>
          <w:tcPr>
            <w:tcW w:w="640" w:type="dxa"/>
            <w:tcBorders>
              <w:left w:val="single" w:sz="4" w:space="0" w:color="auto"/>
            </w:tcBorders>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27,9</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28,8</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26,1</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24,3</w:t>
            </w:r>
          </w:p>
        </w:tc>
        <w:tc>
          <w:tcPr>
            <w:tcW w:w="788"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21,4</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26,7</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27,7</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28,2</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27,8</w:t>
            </w:r>
          </w:p>
        </w:tc>
      </w:tr>
      <w:tr w:rsidR="008F42CC" w:rsidRPr="008F42CC" w:rsidTr="004B3FDA">
        <w:trPr>
          <w:trHeight w:val="288"/>
          <w:jc w:val="center"/>
        </w:trPr>
        <w:tc>
          <w:tcPr>
            <w:tcW w:w="3163" w:type="dxa"/>
            <w:tcBorders>
              <w:top w:val="nil"/>
              <w:bottom w:val="nil"/>
              <w:right w:val="single" w:sz="4" w:space="0" w:color="auto"/>
            </w:tcBorders>
            <w:shd w:val="clear" w:color="auto" w:fill="auto"/>
            <w:noWrap/>
            <w:vAlign w:val="bottom"/>
            <w:hideMark/>
          </w:tcPr>
          <w:p w:rsidR="008F42CC" w:rsidRPr="008F42CC" w:rsidRDefault="00D74F9F" w:rsidP="008F42CC">
            <w:pPr>
              <w:spacing w:after="0" w:line="240" w:lineRule="auto"/>
              <w:rPr>
                <w:rFonts w:ascii="Times New Roman" w:eastAsia="Times New Roman" w:hAnsi="Times New Roman" w:cs="Times New Roman"/>
                <w:b/>
                <w:bCs/>
                <w:sz w:val="20"/>
                <w:szCs w:val="20"/>
                <w:lang w:eastAsia="es-AR"/>
              </w:rPr>
            </w:pPr>
            <w:r>
              <w:rPr>
                <w:rFonts w:ascii="Times New Roman" w:eastAsia="Times New Roman" w:hAnsi="Times New Roman" w:cs="Times New Roman"/>
                <w:b/>
                <w:bCs/>
                <w:sz w:val="20"/>
                <w:szCs w:val="20"/>
                <w:lang w:eastAsia="es-AR"/>
              </w:rPr>
              <w:t>Sector público (*</w:t>
            </w:r>
            <w:r w:rsidR="008F42CC" w:rsidRPr="008F42CC">
              <w:rPr>
                <w:rFonts w:ascii="Times New Roman" w:eastAsia="Times New Roman" w:hAnsi="Times New Roman" w:cs="Times New Roman"/>
                <w:b/>
                <w:bCs/>
                <w:sz w:val="20"/>
                <w:szCs w:val="20"/>
                <w:lang w:eastAsia="es-AR"/>
              </w:rPr>
              <w:t>)</w:t>
            </w:r>
          </w:p>
        </w:tc>
        <w:tc>
          <w:tcPr>
            <w:tcW w:w="640" w:type="dxa"/>
            <w:tcBorders>
              <w:left w:val="single" w:sz="4" w:space="0" w:color="auto"/>
            </w:tcBorders>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27,9</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29,6</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27,9</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25,9</w:t>
            </w:r>
          </w:p>
        </w:tc>
        <w:tc>
          <w:tcPr>
            <w:tcW w:w="788"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sz w:val="20"/>
                <w:szCs w:val="20"/>
                <w:lang w:eastAsia="es-AR"/>
              </w:rPr>
            </w:pPr>
            <w:r w:rsidRPr="008F42CC">
              <w:rPr>
                <w:rFonts w:ascii="Times New Roman" w:eastAsia="Times New Roman" w:hAnsi="Times New Roman" w:cs="Times New Roman"/>
                <w:b/>
                <w:bCs/>
                <w:sz w:val="20"/>
                <w:szCs w:val="20"/>
                <w:lang w:eastAsia="es-AR"/>
              </w:rPr>
              <w:t>25,1</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30,4</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31,4</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34,1</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33,1</w:t>
            </w:r>
          </w:p>
        </w:tc>
      </w:tr>
      <w:tr w:rsidR="008F42CC" w:rsidRPr="008F42CC" w:rsidTr="004B3FDA">
        <w:trPr>
          <w:trHeight w:val="288"/>
          <w:jc w:val="center"/>
        </w:trPr>
        <w:tc>
          <w:tcPr>
            <w:tcW w:w="3163" w:type="dxa"/>
            <w:tcBorders>
              <w:top w:val="nil"/>
              <w:bottom w:val="nil"/>
              <w:right w:val="single" w:sz="4" w:space="0" w:color="auto"/>
            </w:tcBorders>
            <w:shd w:val="clear" w:color="auto" w:fill="auto"/>
            <w:noWrap/>
            <w:vAlign w:val="bottom"/>
            <w:hideMark/>
          </w:tcPr>
          <w:p w:rsidR="008F42CC" w:rsidRPr="008F42CC" w:rsidRDefault="008F42CC" w:rsidP="008F42CC">
            <w:pPr>
              <w:spacing w:after="0" w:line="240" w:lineRule="auto"/>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Regulado</w:t>
            </w:r>
          </w:p>
        </w:tc>
        <w:tc>
          <w:tcPr>
            <w:tcW w:w="640" w:type="dxa"/>
            <w:tcBorders>
              <w:left w:val="single" w:sz="4" w:space="0" w:color="auto"/>
            </w:tcBorders>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30,1</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31,7</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30,1</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29,4</w:t>
            </w:r>
          </w:p>
        </w:tc>
        <w:tc>
          <w:tcPr>
            <w:tcW w:w="788"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31,0</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35,3</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39,5</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42,6</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41,1</w:t>
            </w:r>
          </w:p>
        </w:tc>
      </w:tr>
      <w:tr w:rsidR="008F42CC" w:rsidRPr="008F42CC" w:rsidTr="004B3FDA">
        <w:trPr>
          <w:trHeight w:val="300"/>
          <w:jc w:val="center"/>
        </w:trPr>
        <w:tc>
          <w:tcPr>
            <w:tcW w:w="3163" w:type="dxa"/>
            <w:tcBorders>
              <w:top w:val="nil"/>
              <w:bottom w:val="nil"/>
              <w:right w:val="single" w:sz="4" w:space="0" w:color="auto"/>
            </w:tcBorders>
            <w:shd w:val="clear" w:color="auto" w:fill="auto"/>
            <w:noWrap/>
            <w:vAlign w:val="bottom"/>
            <w:hideMark/>
          </w:tcPr>
          <w:p w:rsidR="008F42CC" w:rsidRPr="008F42CC" w:rsidRDefault="008F42CC" w:rsidP="008F42CC">
            <w:pPr>
              <w:spacing w:after="0" w:line="240" w:lineRule="auto"/>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No regulado</w:t>
            </w:r>
          </w:p>
        </w:tc>
        <w:tc>
          <w:tcPr>
            <w:tcW w:w="640" w:type="dxa"/>
            <w:tcBorders>
              <w:left w:val="single" w:sz="4" w:space="0" w:color="auto"/>
            </w:tcBorders>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24,5</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26,0</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24,5</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22,4</w:t>
            </w:r>
          </w:p>
        </w:tc>
        <w:tc>
          <w:tcPr>
            <w:tcW w:w="788"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21,0</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26,8</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24,6</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25,0</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23,4</w:t>
            </w:r>
          </w:p>
        </w:tc>
      </w:tr>
      <w:tr w:rsidR="008F42CC" w:rsidRPr="008F42CC" w:rsidTr="004B3FDA">
        <w:trPr>
          <w:trHeight w:val="288"/>
          <w:jc w:val="center"/>
        </w:trPr>
        <w:tc>
          <w:tcPr>
            <w:tcW w:w="3163" w:type="dxa"/>
            <w:tcBorders>
              <w:top w:val="nil"/>
              <w:bottom w:val="nil"/>
              <w:right w:val="single" w:sz="4" w:space="0" w:color="auto"/>
            </w:tcBorders>
            <w:shd w:val="clear" w:color="auto" w:fill="auto"/>
            <w:noWrap/>
            <w:vAlign w:val="bottom"/>
            <w:hideMark/>
          </w:tcPr>
          <w:p w:rsidR="008F42CC" w:rsidRPr="008F42CC" w:rsidRDefault="008F42CC" w:rsidP="008F42CC">
            <w:pPr>
              <w:spacing w:after="0" w:line="240" w:lineRule="auto"/>
              <w:rPr>
                <w:rFonts w:ascii="Times New Roman" w:eastAsia="Times New Roman" w:hAnsi="Times New Roman" w:cs="Times New Roman"/>
                <w:b/>
                <w:bCs/>
                <w:sz w:val="20"/>
                <w:szCs w:val="20"/>
                <w:lang w:eastAsia="es-AR"/>
              </w:rPr>
            </w:pPr>
            <w:r w:rsidRPr="008F42CC">
              <w:rPr>
                <w:rFonts w:ascii="Times New Roman" w:eastAsia="Times New Roman" w:hAnsi="Times New Roman" w:cs="Times New Roman"/>
                <w:b/>
                <w:bCs/>
                <w:sz w:val="20"/>
                <w:szCs w:val="20"/>
                <w:lang w:eastAsia="es-AR"/>
              </w:rPr>
              <w:t>Sector Micro Informal</w:t>
            </w:r>
          </w:p>
        </w:tc>
        <w:tc>
          <w:tcPr>
            <w:tcW w:w="640" w:type="dxa"/>
            <w:tcBorders>
              <w:left w:val="single" w:sz="4" w:space="0" w:color="auto"/>
            </w:tcBorders>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24,0</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26,2</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24,0</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21,3</w:t>
            </w:r>
          </w:p>
        </w:tc>
        <w:tc>
          <w:tcPr>
            <w:tcW w:w="788"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sz w:val="20"/>
                <w:szCs w:val="20"/>
                <w:lang w:eastAsia="es-AR"/>
              </w:rPr>
            </w:pPr>
            <w:r w:rsidRPr="008F42CC">
              <w:rPr>
                <w:rFonts w:ascii="Times New Roman" w:eastAsia="Times New Roman" w:hAnsi="Times New Roman" w:cs="Times New Roman"/>
                <w:b/>
                <w:bCs/>
                <w:sz w:val="20"/>
                <w:szCs w:val="20"/>
                <w:lang w:eastAsia="es-AR"/>
              </w:rPr>
              <w:t>18,7</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20,7</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20,5</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22,6</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22,0</w:t>
            </w:r>
          </w:p>
        </w:tc>
      </w:tr>
      <w:tr w:rsidR="008F42CC" w:rsidRPr="008F42CC" w:rsidTr="004B3FDA">
        <w:trPr>
          <w:trHeight w:val="288"/>
          <w:jc w:val="center"/>
        </w:trPr>
        <w:tc>
          <w:tcPr>
            <w:tcW w:w="3163" w:type="dxa"/>
            <w:tcBorders>
              <w:top w:val="nil"/>
              <w:bottom w:val="nil"/>
              <w:right w:val="single" w:sz="4" w:space="0" w:color="auto"/>
            </w:tcBorders>
            <w:shd w:val="clear" w:color="auto" w:fill="auto"/>
            <w:noWrap/>
            <w:vAlign w:val="bottom"/>
            <w:hideMark/>
          </w:tcPr>
          <w:p w:rsidR="008F42CC" w:rsidRPr="008F42CC" w:rsidRDefault="008F42CC" w:rsidP="008F42CC">
            <w:pPr>
              <w:spacing w:after="0" w:line="240" w:lineRule="auto"/>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Regulado</w:t>
            </w:r>
          </w:p>
        </w:tc>
        <w:tc>
          <w:tcPr>
            <w:tcW w:w="640" w:type="dxa"/>
            <w:tcBorders>
              <w:left w:val="single" w:sz="4" w:space="0" w:color="auto"/>
            </w:tcBorders>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23,5</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26,2</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23,5</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22,9</w:t>
            </w:r>
          </w:p>
        </w:tc>
        <w:tc>
          <w:tcPr>
            <w:tcW w:w="788"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21,5</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23,6</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25,9</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22,8</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22,6</w:t>
            </w:r>
          </w:p>
        </w:tc>
      </w:tr>
      <w:tr w:rsidR="008F42CC" w:rsidRPr="008F42CC" w:rsidTr="004B3FDA">
        <w:trPr>
          <w:trHeight w:val="300"/>
          <w:jc w:val="center"/>
        </w:trPr>
        <w:tc>
          <w:tcPr>
            <w:tcW w:w="3163" w:type="dxa"/>
            <w:tcBorders>
              <w:top w:val="nil"/>
              <w:bottom w:val="nil"/>
              <w:right w:val="single" w:sz="4" w:space="0" w:color="auto"/>
            </w:tcBorders>
            <w:shd w:val="clear" w:color="auto" w:fill="auto"/>
            <w:noWrap/>
            <w:vAlign w:val="bottom"/>
            <w:hideMark/>
          </w:tcPr>
          <w:p w:rsidR="008F42CC" w:rsidRPr="008F42CC" w:rsidRDefault="008F42CC" w:rsidP="008F42CC">
            <w:pPr>
              <w:spacing w:after="0" w:line="240" w:lineRule="auto"/>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No regulado</w:t>
            </w:r>
          </w:p>
        </w:tc>
        <w:tc>
          <w:tcPr>
            <w:tcW w:w="640" w:type="dxa"/>
            <w:tcBorders>
              <w:left w:val="single" w:sz="4" w:space="0" w:color="auto"/>
            </w:tcBorders>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23,3</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25,1</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23,3</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20,5</w:t>
            </w:r>
          </w:p>
        </w:tc>
        <w:tc>
          <w:tcPr>
            <w:tcW w:w="788"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18,1</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20,0</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18,7</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22,5</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21,9</w:t>
            </w:r>
          </w:p>
        </w:tc>
      </w:tr>
      <w:tr w:rsidR="008F42CC" w:rsidRPr="008F42CC" w:rsidTr="004B3FDA">
        <w:trPr>
          <w:trHeight w:val="300"/>
          <w:jc w:val="center"/>
        </w:trPr>
        <w:tc>
          <w:tcPr>
            <w:tcW w:w="3163" w:type="dxa"/>
            <w:tcBorders>
              <w:top w:val="nil"/>
              <w:bottom w:val="nil"/>
              <w:right w:val="single" w:sz="4" w:space="0" w:color="auto"/>
            </w:tcBorders>
            <w:shd w:val="clear" w:color="auto" w:fill="auto"/>
            <w:noWrap/>
            <w:vAlign w:val="bottom"/>
            <w:hideMark/>
          </w:tcPr>
          <w:p w:rsidR="008F42CC" w:rsidRPr="008F42CC" w:rsidRDefault="008F42CC" w:rsidP="008F42CC">
            <w:pPr>
              <w:spacing w:after="0" w:line="240" w:lineRule="auto"/>
              <w:rPr>
                <w:rFonts w:ascii="Times New Roman" w:eastAsia="Times New Roman" w:hAnsi="Times New Roman" w:cs="Times New Roman"/>
                <w:b/>
                <w:bCs/>
                <w:sz w:val="20"/>
                <w:szCs w:val="20"/>
                <w:lang w:eastAsia="es-AR"/>
              </w:rPr>
            </w:pPr>
            <w:r w:rsidRPr="008F42CC">
              <w:rPr>
                <w:rFonts w:ascii="Times New Roman" w:eastAsia="Times New Roman" w:hAnsi="Times New Roman" w:cs="Times New Roman"/>
                <w:b/>
                <w:bCs/>
                <w:sz w:val="20"/>
                <w:szCs w:val="20"/>
                <w:lang w:eastAsia="es-AR"/>
              </w:rPr>
              <w:t xml:space="preserve">Ingreso Medio Total </w:t>
            </w:r>
          </w:p>
        </w:tc>
        <w:tc>
          <w:tcPr>
            <w:tcW w:w="640" w:type="dxa"/>
            <w:tcBorders>
              <w:left w:val="single" w:sz="4" w:space="0" w:color="auto"/>
            </w:tcBorders>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28,3</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30,9</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28,3</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25,6</w:t>
            </w:r>
          </w:p>
        </w:tc>
        <w:tc>
          <w:tcPr>
            <w:tcW w:w="788"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22,6</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25,9</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27,4</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28,8</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28,4</w:t>
            </w:r>
          </w:p>
        </w:tc>
      </w:tr>
      <w:tr w:rsidR="008F42CC" w:rsidRPr="008F42CC" w:rsidTr="004B3FDA">
        <w:trPr>
          <w:trHeight w:val="300"/>
          <w:jc w:val="center"/>
        </w:trPr>
        <w:tc>
          <w:tcPr>
            <w:tcW w:w="3163" w:type="dxa"/>
            <w:tcBorders>
              <w:top w:val="nil"/>
              <w:bottom w:val="nil"/>
              <w:right w:val="single" w:sz="4" w:space="0" w:color="auto"/>
            </w:tcBorders>
            <w:shd w:val="clear" w:color="auto" w:fill="auto"/>
            <w:noWrap/>
            <w:vAlign w:val="bottom"/>
            <w:hideMark/>
          </w:tcPr>
          <w:p w:rsidR="008F42CC" w:rsidRPr="008F42CC" w:rsidRDefault="008F42CC" w:rsidP="008F42CC">
            <w:pPr>
              <w:spacing w:after="0" w:line="240" w:lineRule="auto"/>
              <w:rPr>
                <w:rFonts w:ascii="Times New Roman" w:eastAsia="Times New Roman" w:hAnsi="Times New Roman" w:cs="Times New Roman"/>
                <w:b/>
                <w:bCs/>
                <w:sz w:val="20"/>
                <w:szCs w:val="20"/>
                <w:lang w:eastAsia="es-AR"/>
              </w:rPr>
            </w:pPr>
            <w:r w:rsidRPr="008F42CC">
              <w:rPr>
                <w:rFonts w:ascii="Times New Roman" w:eastAsia="Times New Roman" w:hAnsi="Times New Roman" w:cs="Times New Roman"/>
                <w:b/>
                <w:bCs/>
                <w:sz w:val="20"/>
                <w:szCs w:val="20"/>
                <w:lang w:eastAsia="es-AR"/>
              </w:rPr>
              <w:t>Ingreso Medio Total Regulados</w:t>
            </w:r>
          </w:p>
        </w:tc>
        <w:tc>
          <w:tcPr>
            <w:tcW w:w="640" w:type="dxa"/>
            <w:tcBorders>
              <w:left w:val="single" w:sz="4" w:space="0" w:color="auto"/>
            </w:tcBorders>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33,3</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36,5</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33,3</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32,3</w:t>
            </w:r>
          </w:p>
        </w:tc>
        <w:tc>
          <w:tcPr>
            <w:tcW w:w="788"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30,2</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31,7</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34,1</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35,1</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34,6</w:t>
            </w:r>
          </w:p>
        </w:tc>
      </w:tr>
      <w:tr w:rsidR="008F42CC" w:rsidRPr="008F42CC" w:rsidTr="004B3FDA">
        <w:trPr>
          <w:trHeight w:val="300"/>
          <w:jc w:val="center"/>
        </w:trPr>
        <w:tc>
          <w:tcPr>
            <w:tcW w:w="3163" w:type="dxa"/>
            <w:tcBorders>
              <w:top w:val="nil"/>
              <w:bottom w:val="single" w:sz="4" w:space="0" w:color="auto"/>
              <w:right w:val="single" w:sz="4" w:space="0" w:color="auto"/>
            </w:tcBorders>
            <w:shd w:val="clear" w:color="auto" w:fill="auto"/>
            <w:noWrap/>
            <w:vAlign w:val="bottom"/>
            <w:hideMark/>
          </w:tcPr>
          <w:p w:rsidR="008F42CC" w:rsidRPr="008F42CC" w:rsidRDefault="008F42CC" w:rsidP="008F42CC">
            <w:pPr>
              <w:spacing w:after="0" w:line="240" w:lineRule="auto"/>
              <w:rPr>
                <w:rFonts w:ascii="Times New Roman" w:eastAsia="Times New Roman" w:hAnsi="Times New Roman" w:cs="Times New Roman"/>
                <w:b/>
                <w:bCs/>
                <w:sz w:val="20"/>
                <w:szCs w:val="20"/>
                <w:lang w:eastAsia="es-AR"/>
              </w:rPr>
            </w:pPr>
            <w:r w:rsidRPr="008F42CC">
              <w:rPr>
                <w:rFonts w:ascii="Times New Roman" w:eastAsia="Times New Roman" w:hAnsi="Times New Roman" w:cs="Times New Roman"/>
                <w:b/>
                <w:bCs/>
                <w:sz w:val="20"/>
                <w:szCs w:val="20"/>
                <w:lang w:eastAsia="es-AR"/>
              </w:rPr>
              <w:t>Ingreso Medio Total No regulados</w:t>
            </w:r>
          </w:p>
        </w:tc>
        <w:tc>
          <w:tcPr>
            <w:tcW w:w="640" w:type="dxa"/>
            <w:tcBorders>
              <w:left w:val="single" w:sz="4" w:space="0" w:color="auto"/>
            </w:tcBorders>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24,4</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25,9</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24,4</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21,4</w:t>
            </w:r>
          </w:p>
        </w:tc>
        <w:tc>
          <w:tcPr>
            <w:tcW w:w="788"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19,1</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22,7</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22,8</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24,8</w:t>
            </w:r>
          </w:p>
        </w:tc>
        <w:tc>
          <w:tcPr>
            <w:tcW w:w="640" w:type="dxa"/>
            <w:shd w:val="clear" w:color="000000" w:fill="FFFFFF"/>
            <w:noWrap/>
            <w:hideMark/>
          </w:tcPr>
          <w:p w:rsidR="008F42CC" w:rsidRPr="008F42CC" w:rsidRDefault="008F42CC"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24,1</w:t>
            </w:r>
          </w:p>
        </w:tc>
      </w:tr>
    </w:tbl>
    <w:p w:rsidR="00D74F9F" w:rsidRDefault="00D74F9F" w:rsidP="008F42CC">
      <w:pPr>
        <w:tabs>
          <w:tab w:val="left" w:pos="2955"/>
        </w:tabs>
        <w:spacing w:line="240" w:lineRule="auto"/>
        <w:jc w:val="both"/>
        <w:rPr>
          <w:rFonts w:ascii="Times New Roman" w:hAnsi="Times New Roman" w:cs="Times New Roman"/>
          <w:sz w:val="18"/>
        </w:rPr>
      </w:pPr>
      <w:r>
        <w:rPr>
          <w:rFonts w:ascii="Times New Roman" w:hAnsi="Times New Roman" w:cs="Times New Roman"/>
          <w:sz w:val="18"/>
        </w:rPr>
        <w:t>(*) Excluye al sector p</w:t>
      </w:r>
      <w:r w:rsidR="00BD12BE">
        <w:rPr>
          <w:rFonts w:ascii="Times New Roman" w:hAnsi="Times New Roman" w:cs="Times New Roman"/>
          <w:sz w:val="18"/>
        </w:rPr>
        <w:t>úblico de asistencia</w:t>
      </w:r>
      <w:r>
        <w:rPr>
          <w:rFonts w:ascii="Times New Roman" w:hAnsi="Times New Roman" w:cs="Times New Roman"/>
          <w:sz w:val="18"/>
        </w:rPr>
        <w:t>.</w:t>
      </w:r>
    </w:p>
    <w:p w:rsidR="00E106C1" w:rsidRDefault="008F42CC" w:rsidP="008F42CC">
      <w:pPr>
        <w:tabs>
          <w:tab w:val="left" w:pos="2955"/>
        </w:tabs>
        <w:spacing w:line="240" w:lineRule="auto"/>
        <w:jc w:val="both"/>
        <w:rPr>
          <w:rFonts w:ascii="Times New Roman" w:hAnsi="Times New Roman" w:cs="Times New Roman"/>
          <w:sz w:val="18"/>
        </w:rPr>
      </w:pPr>
      <w:r>
        <w:rPr>
          <w:rFonts w:ascii="Times New Roman" w:hAnsi="Times New Roman" w:cs="Times New Roman"/>
          <w:sz w:val="18"/>
        </w:rPr>
        <w:t>Fuente: Elaboración propia con base en la información procesada por el Programa Cambio Estructural y Desigualdad Social, IIGG-FCS-UBA a partir de la EPH, INDEC (Octubre de 1992, 1994, 1998, 2001 y cuartos trimestres de 2003, 2004, 2007, 2012 y 2014)</w:t>
      </w:r>
      <w:r w:rsidRPr="00C41094">
        <w:rPr>
          <w:rFonts w:ascii="Times New Roman" w:hAnsi="Times New Roman" w:cs="Times New Roman"/>
          <w:sz w:val="18"/>
        </w:rPr>
        <w:t>.</w:t>
      </w:r>
      <w:r w:rsidR="00E106C1">
        <w:rPr>
          <w:rFonts w:ascii="Times New Roman" w:hAnsi="Times New Roman" w:cs="Times New Roman"/>
          <w:sz w:val="18"/>
        </w:rPr>
        <w:t xml:space="preserve"> </w:t>
      </w:r>
    </w:p>
    <w:p w:rsidR="008F42CC" w:rsidRDefault="008F42CC" w:rsidP="0054053B">
      <w:pPr>
        <w:spacing w:after="0" w:line="240" w:lineRule="auto"/>
        <w:jc w:val="both"/>
        <w:rPr>
          <w:rFonts w:ascii="Times New Roman" w:eastAsia="Times New Roman" w:hAnsi="Times New Roman" w:cs="Times New Roman"/>
          <w:b/>
          <w:sz w:val="20"/>
          <w:szCs w:val="20"/>
          <w:lang w:eastAsia="es-AR"/>
        </w:rPr>
      </w:pPr>
    </w:p>
    <w:p w:rsidR="00FA0549" w:rsidRDefault="007D4386" w:rsidP="004B3FDA">
      <w:pPr>
        <w:pStyle w:val="Default"/>
        <w:spacing w:line="360" w:lineRule="auto"/>
        <w:ind w:firstLine="340"/>
        <w:jc w:val="both"/>
        <w:rPr>
          <w:rFonts w:ascii="Times New Roman" w:hAnsi="Times New Roman" w:cs="Times New Roman"/>
        </w:rPr>
      </w:pPr>
      <w:r>
        <w:rPr>
          <w:rFonts w:ascii="Times New Roman" w:hAnsi="Times New Roman" w:cs="Times New Roman"/>
        </w:rPr>
        <w:t>En</w:t>
      </w:r>
      <w:r w:rsidR="005F3411">
        <w:rPr>
          <w:rFonts w:ascii="Times New Roman" w:hAnsi="Times New Roman" w:cs="Times New Roman"/>
        </w:rPr>
        <w:t xml:space="preserve"> un </w:t>
      </w:r>
      <w:r w:rsidR="000E5B16">
        <w:rPr>
          <w:rFonts w:ascii="Times New Roman" w:hAnsi="Times New Roman" w:cs="Times New Roman"/>
        </w:rPr>
        <w:t xml:space="preserve">contexto de recuperación de los salarios reales, </w:t>
      </w:r>
      <w:r w:rsidR="005F3411">
        <w:rPr>
          <w:rFonts w:ascii="Times New Roman" w:hAnsi="Times New Roman" w:cs="Times New Roman"/>
        </w:rPr>
        <w:t>para</w:t>
      </w:r>
      <w:r w:rsidR="004828B8">
        <w:rPr>
          <w:rFonts w:ascii="Times New Roman" w:hAnsi="Times New Roman" w:cs="Times New Roman"/>
        </w:rPr>
        <w:t xml:space="preserve"> el año 2004</w:t>
      </w:r>
      <w:r w:rsidR="000E5B16">
        <w:rPr>
          <w:rFonts w:ascii="Times New Roman" w:hAnsi="Times New Roman" w:cs="Times New Roman"/>
        </w:rPr>
        <w:t xml:space="preserve"> podemos ver el</w:t>
      </w:r>
      <w:r w:rsidR="004828B8">
        <w:rPr>
          <w:rFonts w:ascii="Times New Roman" w:hAnsi="Times New Roman" w:cs="Times New Roman"/>
        </w:rPr>
        <w:t xml:space="preserve"> repunte en todos los sectores. </w:t>
      </w:r>
      <w:r w:rsidR="000E5B16">
        <w:rPr>
          <w:rFonts w:ascii="Times New Roman" w:hAnsi="Times New Roman" w:cs="Times New Roman"/>
        </w:rPr>
        <w:t>En este sentido es importante destacar el fortalecimiento del sistema de la seguridad social, a partir de contra reformas en materia laboral, fiscal, de políticas de ingresos y regímenes de subsidios, acompañado de un fuerte aumento de los gastos en infraestructura social y servicios públicos de educación y salud, en el sistema de previsión social (jubilaciones y pensiones), e incluso en los programas de promoción y asistencia directa de ingresos</w:t>
      </w:r>
      <w:r w:rsidR="000E5B16">
        <w:rPr>
          <w:rStyle w:val="Refdenotaalpie"/>
          <w:rFonts w:ascii="Times New Roman" w:hAnsi="Times New Roman" w:cs="Times New Roman"/>
        </w:rPr>
        <w:footnoteReference w:id="19"/>
      </w:r>
      <w:r w:rsidR="000E5B16" w:rsidRPr="00BE192C">
        <w:rPr>
          <w:rFonts w:ascii="Times New Roman" w:hAnsi="Times New Roman" w:cs="Times New Roman"/>
        </w:rPr>
        <w:t xml:space="preserve"> </w:t>
      </w:r>
      <w:r w:rsidR="000E5B16" w:rsidRPr="00CA088A">
        <w:rPr>
          <w:rFonts w:ascii="Times New Roman" w:hAnsi="Times New Roman" w:cs="Times New Roman"/>
        </w:rPr>
        <w:t>(</w:t>
      </w:r>
      <w:proofErr w:type="spellStart"/>
      <w:r w:rsidR="000E5B16" w:rsidRPr="00CA088A">
        <w:rPr>
          <w:rFonts w:ascii="Times New Roman" w:hAnsi="Times New Roman" w:cs="Times New Roman"/>
        </w:rPr>
        <w:t>Novick</w:t>
      </w:r>
      <w:proofErr w:type="spellEnd"/>
      <w:r w:rsidR="000E5B16" w:rsidRPr="00CA088A">
        <w:rPr>
          <w:rFonts w:ascii="Times New Roman" w:hAnsi="Times New Roman" w:cs="Times New Roman"/>
        </w:rPr>
        <w:t xml:space="preserve">, 2006; </w:t>
      </w:r>
      <w:r w:rsidR="000E5B16" w:rsidRPr="002B253A">
        <w:rPr>
          <w:rFonts w:ascii="Times New Roman" w:hAnsi="Times New Roman" w:cs="Times New Roman"/>
        </w:rPr>
        <w:t>Palomino, 2007</w:t>
      </w:r>
      <w:r w:rsidR="000E5B16" w:rsidRPr="00CA088A">
        <w:rPr>
          <w:rFonts w:ascii="Times New Roman" w:hAnsi="Times New Roman" w:cs="Times New Roman"/>
        </w:rPr>
        <w:t xml:space="preserve">; </w:t>
      </w:r>
      <w:proofErr w:type="spellStart"/>
      <w:r w:rsidR="000E5B16" w:rsidRPr="00CA088A">
        <w:rPr>
          <w:rFonts w:ascii="Times New Roman" w:hAnsi="Times New Roman" w:cs="Times New Roman"/>
        </w:rPr>
        <w:t>Bertranou</w:t>
      </w:r>
      <w:proofErr w:type="spellEnd"/>
      <w:r w:rsidR="000E5B16" w:rsidRPr="00CA088A">
        <w:rPr>
          <w:rFonts w:ascii="Times New Roman" w:hAnsi="Times New Roman" w:cs="Times New Roman"/>
        </w:rPr>
        <w:t xml:space="preserve"> y Paz, 2007; </w:t>
      </w:r>
      <w:proofErr w:type="spellStart"/>
      <w:r w:rsidR="000E5B16" w:rsidRPr="00CA088A">
        <w:rPr>
          <w:rFonts w:ascii="Times New Roman" w:hAnsi="Times New Roman" w:cs="Times New Roman"/>
        </w:rPr>
        <w:t>Danani</w:t>
      </w:r>
      <w:proofErr w:type="spellEnd"/>
      <w:r w:rsidR="000E5B16" w:rsidRPr="00CA088A">
        <w:rPr>
          <w:rFonts w:ascii="Times New Roman" w:hAnsi="Times New Roman" w:cs="Times New Roman"/>
        </w:rPr>
        <w:t xml:space="preserve"> y </w:t>
      </w:r>
      <w:proofErr w:type="spellStart"/>
      <w:r w:rsidR="000E5B16" w:rsidRPr="00CA088A">
        <w:rPr>
          <w:rFonts w:ascii="Times New Roman" w:hAnsi="Times New Roman" w:cs="Times New Roman"/>
        </w:rPr>
        <w:t>Grassi</w:t>
      </w:r>
      <w:proofErr w:type="spellEnd"/>
      <w:r w:rsidR="000E5B16" w:rsidRPr="00CA088A">
        <w:rPr>
          <w:rFonts w:ascii="Times New Roman" w:hAnsi="Times New Roman" w:cs="Times New Roman"/>
        </w:rPr>
        <w:t xml:space="preserve">, 2008; </w:t>
      </w:r>
      <w:proofErr w:type="spellStart"/>
      <w:r w:rsidR="000E5B16" w:rsidRPr="00CA088A">
        <w:rPr>
          <w:rFonts w:ascii="Times New Roman" w:hAnsi="Times New Roman" w:cs="Times New Roman"/>
        </w:rPr>
        <w:t>Panigo</w:t>
      </w:r>
      <w:proofErr w:type="spellEnd"/>
      <w:r w:rsidR="000E5B16" w:rsidRPr="00CA088A">
        <w:rPr>
          <w:rFonts w:ascii="Times New Roman" w:hAnsi="Times New Roman" w:cs="Times New Roman"/>
        </w:rPr>
        <w:t xml:space="preserve"> y </w:t>
      </w:r>
      <w:proofErr w:type="spellStart"/>
      <w:r w:rsidR="000E5B16" w:rsidRPr="00CA088A">
        <w:rPr>
          <w:rFonts w:ascii="Times New Roman" w:hAnsi="Times New Roman" w:cs="Times New Roman"/>
        </w:rPr>
        <w:t>Neffa</w:t>
      </w:r>
      <w:proofErr w:type="spellEnd"/>
      <w:r w:rsidR="000E5B16" w:rsidRPr="00CA088A">
        <w:rPr>
          <w:rFonts w:ascii="Times New Roman" w:hAnsi="Times New Roman" w:cs="Times New Roman"/>
        </w:rPr>
        <w:t xml:space="preserve">, 2009; </w:t>
      </w:r>
      <w:proofErr w:type="spellStart"/>
      <w:r w:rsidR="000E5B16" w:rsidRPr="00CA088A">
        <w:rPr>
          <w:rFonts w:ascii="Times New Roman" w:hAnsi="Times New Roman" w:cs="Times New Roman"/>
        </w:rPr>
        <w:t>Azpiazu</w:t>
      </w:r>
      <w:proofErr w:type="spellEnd"/>
      <w:r w:rsidR="000E5B16" w:rsidRPr="00CA088A">
        <w:rPr>
          <w:rFonts w:ascii="Times New Roman" w:hAnsi="Times New Roman" w:cs="Times New Roman"/>
        </w:rPr>
        <w:t xml:space="preserve"> y </w:t>
      </w:r>
      <w:proofErr w:type="spellStart"/>
      <w:r w:rsidR="000E5B16" w:rsidRPr="00CA088A">
        <w:rPr>
          <w:rFonts w:ascii="Times New Roman" w:hAnsi="Times New Roman" w:cs="Times New Roman"/>
        </w:rPr>
        <w:t>Schorr</w:t>
      </w:r>
      <w:proofErr w:type="spellEnd"/>
      <w:r w:rsidR="000E5B16" w:rsidRPr="00CA088A">
        <w:rPr>
          <w:rFonts w:ascii="Times New Roman" w:hAnsi="Times New Roman" w:cs="Times New Roman"/>
        </w:rPr>
        <w:t xml:space="preserve">, 2008; </w:t>
      </w:r>
      <w:proofErr w:type="spellStart"/>
      <w:r w:rsidR="000E5B16" w:rsidRPr="00CA088A">
        <w:rPr>
          <w:rFonts w:ascii="Times New Roman" w:hAnsi="Times New Roman" w:cs="Times New Roman"/>
        </w:rPr>
        <w:t>Danani</w:t>
      </w:r>
      <w:proofErr w:type="spellEnd"/>
      <w:r w:rsidR="000E5B16" w:rsidRPr="00CA088A">
        <w:rPr>
          <w:rFonts w:ascii="Times New Roman" w:hAnsi="Times New Roman" w:cs="Times New Roman"/>
        </w:rPr>
        <w:t xml:space="preserve"> y </w:t>
      </w:r>
      <w:proofErr w:type="spellStart"/>
      <w:r w:rsidR="000E5B16" w:rsidRPr="00CA088A">
        <w:rPr>
          <w:rFonts w:ascii="Times New Roman" w:hAnsi="Times New Roman" w:cs="Times New Roman"/>
        </w:rPr>
        <w:t>Hintze</w:t>
      </w:r>
      <w:proofErr w:type="spellEnd"/>
      <w:r w:rsidR="000E5B16" w:rsidRPr="00CA088A">
        <w:rPr>
          <w:rFonts w:ascii="Times New Roman" w:hAnsi="Times New Roman" w:cs="Times New Roman"/>
        </w:rPr>
        <w:t xml:space="preserve">, 2011). </w:t>
      </w:r>
      <w:r w:rsidR="008B78BF">
        <w:rPr>
          <w:rFonts w:ascii="Times New Roman" w:hAnsi="Times New Roman" w:cs="Times New Roman"/>
        </w:rPr>
        <w:t>Sobre todo cuando analizamos la evolución de las brechas por segmento</w:t>
      </w:r>
      <w:r w:rsidR="00FA0549">
        <w:rPr>
          <w:rFonts w:ascii="Times New Roman" w:hAnsi="Times New Roman" w:cs="Times New Roman"/>
        </w:rPr>
        <w:t xml:space="preserve"> de empleo</w:t>
      </w:r>
      <w:r w:rsidR="008B78BF">
        <w:rPr>
          <w:rFonts w:ascii="Times New Roman" w:hAnsi="Times New Roman" w:cs="Times New Roman"/>
        </w:rPr>
        <w:t xml:space="preserve">, en donde para todos los sectores durante el periodo </w:t>
      </w:r>
      <w:proofErr w:type="spellStart"/>
      <w:r w:rsidR="008B78BF">
        <w:rPr>
          <w:rFonts w:ascii="Times New Roman" w:hAnsi="Times New Roman" w:cs="Times New Roman"/>
        </w:rPr>
        <w:t>neodesarrollista</w:t>
      </w:r>
      <w:proofErr w:type="spellEnd"/>
      <w:r w:rsidR="008B78BF">
        <w:rPr>
          <w:rFonts w:ascii="Times New Roman" w:hAnsi="Times New Roman" w:cs="Times New Roman"/>
        </w:rPr>
        <w:t xml:space="preserve"> los trabajadores del segmento regulado se encuentran m</w:t>
      </w:r>
      <w:r>
        <w:rPr>
          <w:rFonts w:ascii="Times New Roman" w:hAnsi="Times New Roman" w:cs="Times New Roman"/>
        </w:rPr>
        <w:t xml:space="preserve">ejor </w:t>
      </w:r>
      <w:r>
        <w:rPr>
          <w:rFonts w:ascii="Times New Roman" w:hAnsi="Times New Roman" w:cs="Times New Roman"/>
        </w:rPr>
        <w:lastRenderedPageBreak/>
        <w:t>posicionados salarialmente</w:t>
      </w:r>
      <w:r w:rsidR="008B78BF">
        <w:rPr>
          <w:rFonts w:ascii="Times New Roman" w:hAnsi="Times New Roman" w:cs="Times New Roman"/>
        </w:rPr>
        <w:t xml:space="preserve"> respecto al promedio de cada sector y sobre todo a los salarios de los trabajadores </w:t>
      </w:r>
      <w:r w:rsidR="00FA0549">
        <w:rPr>
          <w:rFonts w:ascii="Times New Roman" w:hAnsi="Times New Roman" w:cs="Times New Roman"/>
        </w:rPr>
        <w:t>jóvenes</w:t>
      </w:r>
      <w:r w:rsidR="008B78BF">
        <w:rPr>
          <w:rFonts w:ascii="Times New Roman" w:hAnsi="Times New Roman" w:cs="Times New Roman"/>
        </w:rPr>
        <w:t xml:space="preserve"> no regulados. </w:t>
      </w:r>
    </w:p>
    <w:p w:rsidR="000E5B16" w:rsidRPr="004828B8" w:rsidRDefault="007D4386" w:rsidP="004B3FDA">
      <w:pPr>
        <w:pStyle w:val="Default"/>
        <w:spacing w:line="360" w:lineRule="auto"/>
        <w:ind w:firstLine="340"/>
        <w:jc w:val="both"/>
        <w:rPr>
          <w:rFonts w:ascii="Times New Roman" w:hAnsi="Times New Roman" w:cs="Times New Roman"/>
        </w:rPr>
      </w:pPr>
      <w:r>
        <w:rPr>
          <w:rFonts w:ascii="Times New Roman" w:hAnsi="Times New Roman" w:cs="Times New Roman"/>
        </w:rPr>
        <w:t>Como se mencionó anteriormente, e</w:t>
      </w:r>
      <w:r w:rsidR="000E5B16" w:rsidRPr="00B07B02">
        <w:rPr>
          <w:rFonts w:ascii="Times New Roman" w:hAnsi="Times New Roman" w:cs="Times New Roman"/>
        </w:rPr>
        <w:t xml:space="preserve">n el sector público se observa </w:t>
      </w:r>
      <w:r>
        <w:rPr>
          <w:rFonts w:ascii="Times New Roman" w:hAnsi="Times New Roman" w:cs="Times New Roman"/>
        </w:rPr>
        <w:t xml:space="preserve">un </w:t>
      </w:r>
      <w:r w:rsidR="004828B8">
        <w:rPr>
          <w:rFonts w:ascii="Times New Roman" w:hAnsi="Times New Roman" w:cs="Times New Roman"/>
        </w:rPr>
        <w:t xml:space="preserve">importante </w:t>
      </w:r>
      <w:r w:rsidR="000E5B16" w:rsidRPr="00B07B02">
        <w:rPr>
          <w:rFonts w:ascii="Times New Roman" w:hAnsi="Times New Roman" w:cs="Times New Roman"/>
        </w:rPr>
        <w:t xml:space="preserve">aumento de las remuneraciones </w:t>
      </w:r>
      <w:r>
        <w:rPr>
          <w:rFonts w:ascii="Times New Roman" w:hAnsi="Times New Roman" w:cs="Times New Roman"/>
        </w:rPr>
        <w:t>equiparándose al sector privado formal</w:t>
      </w:r>
      <w:r w:rsidR="000E5B16" w:rsidRPr="00B07B02">
        <w:rPr>
          <w:rFonts w:ascii="Times New Roman" w:hAnsi="Times New Roman" w:cs="Times New Roman"/>
        </w:rPr>
        <w:t xml:space="preserve"> </w:t>
      </w:r>
      <w:r w:rsidR="004828B8">
        <w:rPr>
          <w:rFonts w:ascii="Times New Roman" w:hAnsi="Times New Roman" w:cs="Times New Roman"/>
        </w:rPr>
        <w:t>a partir del año 2004</w:t>
      </w:r>
      <w:r w:rsidR="000E5B16" w:rsidRPr="00B07B02">
        <w:rPr>
          <w:rFonts w:ascii="Times New Roman" w:hAnsi="Times New Roman" w:cs="Times New Roman"/>
        </w:rPr>
        <w:t xml:space="preserve">, alcanzando su valor más alto en </w:t>
      </w:r>
      <w:r w:rsidR="004828B8">
        <w:rPr>
          <w:rFonts w:ascii="Times New Roman" w:hAnsi="Times New Roman" w:cs="Times New Roman"/>
        </w:rPr>
        <w:t>el 2012</w:t>
      </w:r>
      <w:r>
        <w:rPr>
          <w:rFonts w:ascii="Times New Roman" w:hAnsi="Times New Roman" w:cs="Times New Roman"/>
        </w:rPr>
        <w:t>. Incluso la media de las remuneraciones de los trabajadores regulados en este sector, supera</w:t>
      </w:r>
      <w:r w:rsidR="00711B0F">
        <w:rPr>
          <w:rFonts w:ascii="Times New Roman" w:hAnsi="Times New Roman" w:cs="Times New Roman"/>
        </w:rPr>
        <w:t xml:space="preserve"> el</w:t>
      </w:r>
      <w:r w:rsidR="000E5B16" w:rsidRPr="00B07B02">
        <w:rPr>
          <w:rFonts w:ascii="Times New Roman" w:hAnsi="Times New Roman" w:cs="Times New Roman"/>
        </w:rPr>
        <w:t xml:space="preserve"> IMT de</w:t>
      </w:r>
      <w:r w:rsidR="00711B0F">
        <w:rPr>
          <w:rFonts w:ascii="Times New Roman" w:hAnsi="Times New Roman" w:cs="Times New Roman"/>
        </w:rPr>
        <w:t xml:space="preserve"> los empleos</w:t>
      </w:r>
      <w:r w:rsidR="000E5B16" w:rsidRPr="00B07B02">
        <w:rPr>
          <w:rFonts w:ascii="Times New Roman" w:hAnsi="Times New Roman" w:cs="Times New Roman"/>
        </w:rPr>
        <w:t xml:space="preserve"> re</w:t>
      </w:r>
      <w:r w:rsidR="000E5B16">
        <w:rPr>
          <w:rFonts w:ascii="Times New Roman" w:hAnsi="Times New Roman" w:cs="Times New Roman"/>
        </w:rPr>
        <w:t>gulados</w:t>
      </w:r>
      <w:r w:rsidR="00711B0F">
        <w:rPr>
          <w:rFonts w:ascii="Times New Roman" w:hAnsi="Times New Roman" w:cs="Times New Roman"/>
        </w:rPr>
        <w:t xml:space="preserve"> en todos los años de ese periodo</w:t>
      </w:r>
      <w:r w:rsidR="000E5B16">
        <w:rPr>
          <w:rFonts w:ascii="Times New Roman" w:hAnsi="Times New Roman" w:cs="Times New Roman"/>
        </w:rPr>
        <w:t>. El análisis de las remuneraciones horarias acompaña lo anteriormente mencionado respecto al crecimiento del empleo público durante el régimen de la post</w:t>
      </w:r>
      <w:r w:rsidR="004828B8">
        <w:rPr>
          <w:rFonts w:ascii="Times New Roman" w:hAnsi="Times New Roman" w:cs="Times New Roman"/>
        </w:rPr>
        <w:t xml:space="preserve"> </w:t>
      </w:r>
      <w:r w:rsidR="000E5B16">
        <w:rPr>
          <w:rFonts w:ascii="Times New Roman" w:hAnsi="Times New Roman" w:cs="Times New Roman"/>
        </w:rPr>
        <w:t xml:space="preserve">convertibilidad, aunque bajo la modalidad </w:t>
      </w:r>
      <w:proofErr w:type="spellStart"/>
      <w:r w:rsidR="000E5B16">
        <w:rPr>
          <w:rFonts w:ascii="Times New Roman" w:hAnsi="Times New Roman" w:cs="Times New Roman"/>
        </w:rPr>
        <w:t>monotributista</w:t>
      </w:r>
      <w:proofErr w:type="spellEnd"/>
      <w:r w:rsidR="000E5B16">
        <w:rPr>
          <w:rFonts w:ascii="Times New Roman" w:hAnsi="Times New Roman" w:cs="Times New Roman"/>
        </w:rPr>
        <w:t xml:space="preserve"> y de jornadas reducidas, que en numerosos casos son determinantes para analizar la subocupación y precarización laboral de los jóvenes. </w:t>
      </w:r>
      <w:r w:rsidR="00255B24" w:rsidRPr="004828B8">
        <w:rPr>
          <w:rFonts w:ascii="Times New Roman" w:hAnsi="Times New Roman" w:cs="Times New Roman"/>
        </w:rPr>
        <w:t xml:space="preserve">Según los datos </w:t>
      </w:r>
      <w:r w:rsidR="004828B8">
        <w:rPr>
          <w:rFonts w:ascii="Times New Roman" w:hAnsi="Times New Roman" w:cs="Times New Roman"/>
        </w:rPr>
        <w:t xml:space="preserve">relevados por CIPPEC </w:t>
      </w:r>
      <w:r w:rsidR="00255B24" w:rsidRPr="004828B8">
        <w:rPr>
          <w:rFonts w:ascii="Times New Roman" w:hAnsi="Times New Roman" w:cs="Times New Roman"/>
        </w:rPr>
        <w:t>el salario promedio de un empleado en planta transitoria en 2012 era el 70% del promedio de aquel empleado como planta permanente, mientras que la remuneración promedio de los contratados significaban un 63% del trabajador con estabilidad</w:t>
      </w:r>
      <w:r w:rsidR="004828B8" w:rsidRPr="004828B8">
        <w:rPr>
          <w:rFonts w:ascii="Times New Roman" w:hAnsi="Times New Roman" w:cs="Times New Roman"/>
        </w:rPr>
        <w:t xml:space="preserve"> (Pomares, </w:t>
      </w:r>
      <w:proofErr w:type="spellStart"/>
      <w:r w:rsidR="004828B8" w:rsidRPr="004828B8">
        <w:rPr>
          <w:rFonts w:ascii="Times New Roman" w:hAnsi="Times New Roman" w:cs="Times New Roman"/>
        </w:rPr>
        <w:t>Gasparin</w:t>
      </w:r>
      <w:proofErr w:type="spellEnd"/>
      <w:r w:rsidR="004828B8" w:rsidRPr="004828B8">
        <w:rPr>
          <w:rFonts w:ascii="Times New Roman" w:hAnsi="Times New Roman" w:cs="Times New Roman"/>
        </w:rPr>
        <w:t xml:space="preserve">, y </w:t>
      </w:r>
      <w:proofErr w:type="spellStart"/>
      <w:r w:rsidR="004828B8" w:rsidRPr="004828B8">
        <w:rPr>
          <w:rFonts w:ascii="Times New Roman" w:hAnsi="Times New Roman" w:cs="Times New Roman"/>
        </w:rPr>
        <w:t>Deleersnyder</w:t>
      </w:r>
      <w:proofErr w:type="spellEnd"/>
      <w:r w:rsidR="004828B8">
        <w:rPr>
          <w:rFonts w:ascii="Times New Roman" w:hAnsi="Times New Roman" w:cs="Times New Roman"/>
        </w:rPr>
        <w:t>,</w:t>
      </w:r>
      <w:r w:rsidR="004828B8" w:rsidRPr="004828B8">
        <w:rPr>
          <w:rFonts w:ascii="Times New Roman" w:hAnsi="Times New Roman" w:cs="Times New Roman"/>
        </w:rPr>
        <w:t xml:space="preserve"> 2013)</w:t>
      </w:r>
      <w:r w:rsidR="004828B8">
        <w:rPr>
          <w:rFonts w:ascii="Times New Roman" w:hAnsi="Times New Roman" w:cs="Times New Roman"/>
        </w:rPr>
        <w:t xml:space="preserve">. </w:t>
      </w:r>
    </w:p>
    <w:p w:rsidR="000B2E33" w:rsidRDefault="005F3411" w:rsidP="004B3FDA">
      <w:pPr>
        <w:pStyle w:val="Default"/>
        <w:spacing w:line="360" w:lineRule="auto"/>
        <w:ind w:firstLine="340"/>
        <w:jc w:val="both"/>
        <w:rPr>
          <w:rFonts w:ascii="Times New Roman" w:hAnsi="Times New Roman" w:cs="Times New Roman"/>
        </w:rPr>
      </w:pPr>
      <w:r>
        <w:rPr>
          <w:rFonts w:ascii="Times New Roman" w:hAnsi="Times New Roman" w:cs="Times New Roman"/>
        </w:rPr>
        <w:t>Es importante observar la caída de las remuneraciones horarias reales de los jóvenes para todos los sect</w:t>
      </w:r>
      <w:r w:rsidR="00B1745C">
        <w:rPr>
          <w:rFonts w:ascii="Times New Roman" w:hAnsi="Times New Roman" w:cs="Times New Roman"/>
        </w:rPr>
        <w:t xml:space="preserve">ores económico ocupacionales en los años pre y post crisis, </w:t>
      </w:r>
      <w:r>
        <w:rPr>
          <w:rFonts w:ascii="Times New Roman" w:hAnsi="Times New Roman" w:cs="Times New Roman"/>
        </w:rPr>
        <w:t>en donde de por sí el IMT cayó significati</w:t>
      </w:r>
      <w:r w:rsidR="00B1745C">
        <w:rPr>
          <w:rFonts w:ascii="Times New Roman" w:hAnsi="Times New Roman" w:cs="Times New Roman"/>
        </w:rPr>
        <w:t>vamente</w:t>
      </w:r>
      <w:r w:rsidR="008F1D1A">
        <w:rPr>
          <w:rFonts w:ascii="Times New Roman" w:hAnsi="Times New Roman" w:cs="Times New Roman"/>
        </w:rPr>
        <w:t xml:space="preserve">. </w:t>
      </w:r>
    </w:p>
    <w:p w:rsidR="00C027FE" w:rsidRDefault="005A7ABD" w:rsidP="004B3FDA">
      <w:pPr>
        <w:pStyle w:val="Default"/>
        <w:spacing w:line="360" w:lineRule="auto"/>
        <w:ind w:firstLine="340"/>
        <w:jc w:val="both"/>
        <w:rPr>
          <w:rFonts w:ascii="Times New Roman" w:hAnsi="Times New Roman" w:cs="Times New Roman"/>
        </w:rPr>
      </w:pPr>
      <w:r>
        <w:rPr>
          <w:rFonts w:ascii="Times New Roman" w:hAnsi="Times New Roman" w:cs="Times New Roman"/>
        </w:rPr>
        <w:t>Cuando sumamos al análisis las categorías económico ocupacionales por sector y segmento de empleo,</w:t>
      </w:r>
      <w:r w:rsidR="00B1577E">
        <w:rPr>
          <w:rFonts w:ascii="Times New Roman" w:hAnsi="Times New Roman" w:cs="Times New Roman"/>
        </w:rPr>
        <w:t xml:space="preserve"> como</w:t>
      </w:r>
      <w:r>
        <w:rPr>
          <w:rFonts w:ascii="Times New Roman" w:hAnsi="Times New Roman" w:cs="Times New Roman"/>
        </w:rPr>
        <w:t xml:space="preserve"> vemos </w:t>
      </w:r>
      <w:r w:rsidR="00B1577E">
        <w:rPr>
          <w:rFonts w:ascii="Times New Roman" w:hAnsi="Times New Roman" w:cs="Times New Roman"/>
        </w:rPr>
        <w:t xml:space="preserve">en el Cuadro nº </w:t>
      </w:r>
      <w:r w:rsidR="007B2614">
        <w:rPr>
          <w:rFonts w:ascii="Times New Roman" w:hAnsi="Times New Roman" w:cs="Times New Roman"/>
        </w:rPr>
        <w:t>3</w:t>
      </w:r>
      <w:r w:rsidR="00B1577E">
        <w:rPr>
          <w:rFonts w:ascii="Times New Roman" w:hAnsi="Times New Roman" w:cs="Times New Roman"/>
        </w:rPr>
        <w:t xml:space="preserve">, </w:t>
      </w:r>
      <w:r>
        <w:rPr>
          <w:rFonts w:ascii="Times New Roman" w:hAnsi="Times New Roman" w:cs="Times New Roman"/>
        </w:rPr>
        <w:t xml:space="preserve">durante el periodo neoliberal los </w:t>
      </w:r>
      <w:r w:rsidR="00F9159F">
        <w:rPr>
          <w:rFonts w:ascii="Times New Roman" w:hAnsi="Times New Roman" w:cs="Times New Roman"/>
        </w:rPr>
        <w:t xml:space="preserve">no </w:t>
      </w:r>
      <w:r>
        <w:rPr>
          <w:rFonts w:ascii="Times New Roman" w:hAnsi="Times New Roman" w:cs="Times New Roman"/>
        </w:rPr>
        <w:t xml:space="preserve">asalariados del sector </w:t>
      </w:r>
      <w:r w:rsidR="005F54FF">
        <w:rPr>
          <w:rFonts w:ascii="Times New Roman" w:hAnsi="Times New Roman" w:cs="Times New Roman"/>
        </w:rPr>
        <w:t xml:space="preserve">privado </w:t>
      </w:r>
      <w:r>
        <w:rPr>
          <w:rFonts w:ascii="Times New Roman" w:hAnsi="Times New Roman" w:cs="Times New Roman"/>
        </w:rPr>
        <w:t>formal</w:t>
      </w:r>
      <w:r w:rsidR="007A1149">
        <w:rPr>
          <w:rStyle w:val="Refdenotaalpie"/>
          <w:rFonts w:ascii="Times New Roman" w:hAnsi="Times New Roman" w:cs="Times New Roman"/>
        </w:rPr>
        <w:footnoteReference w:id="20"/>
      </w:r>
      <w:r>
        <w:rPr>
          <w:rFonts w:ascii="Times New Roman" w:hAnsi="Times New Roman" w:cs="Times New Roman"/>
        </w:rPr>
        <w:t xml:space="preserve"> son los que superan ampliamente al IMT, principalmente en el segmento regulado. Esta categoría sufre un descenso en las </w:t>
      </w:r>
      <w:r w:rsidR="00F9159F">
        <w:rPr>
          <w:rFonts w:ascii="Times New Roman" w:hAnsi="Times New Roman" w:cs="Times New Roman"/>
        </w:rPr>
        <w:t>remuneraciones</w:t>
      </w:r>
      <w:r>
        <w:rPr>
          <w:rFonts w:ascii="Times New Roman" w:hAnsi="Times New Roman" w:cs="Times New Roman"/>
        </w:rPr>
        <w:t xml:space="preserve"> horaria</w:t>
      </w:r>
      <w:r w:rsidR="00F9159F">
        <w:rPr>
          <w:rFonts w:ascii="Times New Roman" w:hAnsi="Times New Roman" w:cs="Times New Roman"/>
        </w:rPr>
        <w:t>s durante el</w:t>
      </w:r>
      <w:r w:rsidR="005F54FF">
        <w:rPr>
          <w:rFonts w:ascii="Times New Roman" w:hAnsi="Times New Roman" w:cs="Times New Roman"/>
        </w:rPr>
        <w:t xml:space="preserve"> periodo </w:t>
      </w:r>
      <w:proofErr w:type="spellStart"/>
      <w:r w:rsidR="005F54FF">
        <w:rPr>
          <w:rFonts w:ascii="Times New Roman" w:hAnsi="Times New Roman" w:cs="Times New Roman"/>
        </w:rPr>
        <w:t>neodesarrollista</w:t>
      </w:r>
      <w:proofErr w:type="spellEnd"/>
      <w:r w:rsidR="005F54FF">
        <w:rPr>
          <w:rFonts w:ascii="Times New Roman" w:hAnsi="Times New Roman" w:cs="Times New Roman"/>
        </w:rPr>
        <w:t xml:space="preserve">. </w:t>
      </w:r>
    </w:p>
    <w:p w:rsidR="005F54FF" w:rsidRDefault="005F54FF" w:rsidP="004B3FDA">
      <w:pPr>
        <w:pStyle w:val="Default"/>
        <w:spacing w:line="360" w:lineRule="auto"/>
        <w:ind w:firstLine="340"/>
        <w:jc w:val="both"/>
        <w:rPr>
          <w:rFonts w:ascii="Times New Roman" w:hAnsi="Times New Roman" w:cs="Times New Roman"/>
        </w:rPr>
      </w:pPr>
      <w:r>
        <w:rPr>
          <w:rFonts w:ascii="Times New Roman" w:hAnsi="Times New Roman" w:cs="Times New Roman"/>
        </w:rPr>
        <w:t>En el caso de los asalariados del sector formal</w:t>
      </w:r>
      <w:r w:rsidRPr="005F54FF">
        <w:rPr>
          <w:rFonts w:ascii="Times New Roman" w:hAnsi="Times New Roman" w:cs="Times New Roman"/>
        </w:rPr>
        <w:t xml:space="preserve"> </w:t>
      </w:r>
      <w:r>
        <w:rPr>
          <w:rFonts w:ascii="Times New Roman" w:hAnsi="Times New Roman" w:cs="Times New Roman"/>
        </w:rPr>
        <w:t xml:space="preserve">privado y público, las remuneraciones tienden a recuperarse luego de la crisis 2001 superando los valores del periodo neoliberal, sobre todo en el caso de los trabajadores regulados. </w:t>
      </w:r>
      <w:r w:rsidR="009A1EE1">
        <w:rPr>
          <w:rFonts w:ascii="Times New Roman" w:hAnsi="Times New Roman" w:cs="Times New Roman"/>
        </w:rPr>
        <w:t>En esta categoría se observa el fortalecimiento del sector p</w:t>
      </w:r>
      <w:r w:rsidR="000B2E33">
        <w:rPr>
          <w:rFonts w:ascii="Times New Roman" w:hAnsi="Times New Roman" w:cs="Times New Roman"/>
        </w:rPr>
        <w:t xml:space="preserve">úblico durante dicho </w:t>
      </w:r>
      <w:r w:rsidR="009A1EE1">
        <w:rPr>
          <w:rFonts w:ascii="Times New Roman" w:hAnsi="Times New Roman" w:cs="Times New Roman"/>
        </w:rPr>
        <w:t xml:space="preserve">periodo. </w:t>
      </w:r>
    </w:p>
    <w:p w:rsidR="004B3FDA" w:rsidRDefault="004B3FDA" w:rsidP="004B3FDA">
      <w:pPr>
        <w:pStyle w:val="Default"/>
        <w:spacing w:line="360" w:lineRule="auto"/>
        <w:ind w:firstLine="340"/>
        <w:jc w:val="both"/>
        <w:rPr>
          <w:rFonts w:ascii="Times New Roman" w:hAnsi="Times New Roman" w:cs="Times New Roman"/>
        </w:rPr>
      </w:pPr>
    </w:p>
    <w:p w:rsidR="004B3FDA" w:rsidRDefault="004B3FDA" w:rsidP="004B3FDA">
      <w:pPr>
        <w:pStyle w:val="Default"/>
        <w:spacing w:line="360" w:lineRule="auto"/>
        <w:ind w:firstLine="340"/>
        <w:jc w:val="both"/>
        <w:rPr>
          <w:rFonts w:ascii="Times New Roman" w:hAnsi="Times New Roman" w:cs="Times New Roman"/>
        </w:rPr>
      </w:pPr>
    </w:p>
    <w:p w:rsidR="008F42CC" w:rsidRPr="007D4386" w:rsidRDefault="007B2614" w:rsidP="008F42CC">
      <w:pPr>
        <w:spacing w:after="0" w:line="240" w:lineRule="auto"/>
        <w:jc w:val="both"/>
        <w:rPr>
          <w:rFonts w:ascii="Times New Roman" w:eastAsia="Times New Roman" w:hAnsi="Times New Roman" w:cs="Times New Roman"/>
          <w:szCs w:val="20"/>
          <w:lang w:eastAsia="es-AR"/>
        </w:rPr>
      </w:pPr>
      <w:r w:rsidRPr="007D4386">
        <w:rPr>
          <w:rFonts w:ascii="Times New Roman" w:eastAsia="Times New Roman" w:hAnsi="Times New Roman" w:cs="Times New Roman"/>
          <w:szCs w:val="20"/>
          <w:lang w:eastAsia="es-AR"/>
        </w:rPr>
        <w:lastRenderedPageBreak/>
        <w:t>Cuadro n° 3</w:t>
      </w:r>
      <w:r w:rsidR="008F42CC" w:rsidRPr="007D4386">
        <w:rPr>
          <w:rFonts w:ascii="Times New Roman" w:eastAsia="Times New Roman" w:hAnsi="Times New Roman" w:cs="Times New Roman"/>
          <w:szCs w:val="20"/>
          <w:lang w:eastAsia="es-AR"/>
        </w:rPr>
        <w:t xml:space="preserve">: Remuneración horaria real por segmento del mercado de trabajo según sectores y categorías económico ocupacionales. Jóvenes 18 a 29 años, </w:t>
      </w:r>
      <w:r w:rsidR="005316BB" w:rsidRPr="007D4386">
        <w:rPr>
          <w:rFonts w:ascii="Times New Roman" w:eastAsia="Times New Roman" w:hAnsi="Times New Roman" w:cs="Times New Roman"/>
          <w:szCs w:val="20"/>
          <w:lang w:eastAsia="es-AR"/>
        </w:rPr>
        <w:t>GBA</w:t>
      </w:r>
      <w:r w:rsidR="008F42CC" w:rsidRPr="007D4386">
        <w:rPr>
          <w:rFonts w:ascii="Times New Roman" w:eastAsia="Times New Roman" w:hAnsi="Times New Roman" w:cs="Times New Roman"/>
          <w:szCs w:val="20"/>
          <w:lang w:eastAsia="es-AR"/>
        </w:rPr>
        <w:t>: 1992-2014.  Promedio en pesos del cuarto trimestre de 2014.</w:t>
      </w:r>
    </w:p>
    <w:tbl>
      <w:tblPr>
        <w:tblW w:w="9050" w:type="dxa"/>
        <w:jc w:val="center"/>
        <w:tblCellMar>
          <w:left w:w="70" w:type="dxa"/>
          <w:right w:w="70" w:type="dxa"/>
        </w:tblCellMar>
        <w:tblLook w:val="04A0" w:firstRow="1" w:lastRow="0" w:firstColumn="1" w:lastColumn="0" w:noHBand="0" w:noVBand="1"/>
      </w:tblPr>
      <w:tblGrid>
        <w:gridCol w:w="3766"/>
        <w:gridCol w:w="646"/>
        <w:gridCol w:w="540"/>
        <w:gridCol w:w="562"/>
        <w:gridCol w:w="622"/>
        <w:gridCol w:w="666"/>
        <w:gridCol w:w="562"/>
        <w:gridCol w:w="562"/>
        <w:gridCol w:w="562"/>
        <w:gridCol w:w="562"/>
      </w:tblGrid>
      <w:tr w:rsidR="00A70933" w:rsidRPr="008F42CC" w:rsidTr="004B3FDA">
        <w:trPr>
          <w:trHeight w:val="281"/>
          <w:jc w:val="center"/>
        </w:trPr>
        <w:tc>
          <w:tcPr>
            <w:tcW w:w="3766" w:type="dxa"/>
            <w:vMerge w:val="restart"/>
            <w:tcBorders>
              <w:top w:val="single" w:sz="4" w:space="0" w:color="auto"/>
              <w:left w:val="single" w:sz="4" w:space="0" w:color="auto"/>
              <w:right w:val="single" w:sz="4" w:space="0" w:color="auto"/>
            </w:tcBorders>
            <w:shd w:val="clear" w:color="auto" w:fill="auto"/>
            <w:noWrap/>
            <w:vAlign w:val="bottom"/>
            <w:hideMark/>
          </w:tcPr>
          <w:p w:rsidR="00A70933" w:rsidRPr="008F42CC" w:rsidRDefault="00A70933" w:rsidP="008F42CC">
            <w:pPr>
              <w:spacing w:after="0" w:line="240" w:lineRule="auto"/>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 </w:t>
            </w:r>
          </w:p>
          <w:p w:rsidR="00A70933" w:rsidRPr="008F42CC" w:rsidRDefault="00A70933" w:rsidP="008F42CC">
            <w:pPr>
              <w:spacing w:after="0" w:line="240" w:lineRule="auto"/>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 </w:t>
            </w:r>
          </w:p>
        </w:tc>
        <w:tc>
          <w:tcPr>
            <w:tcW w:w="1748" w:type="dxa"/>
            <w:gridSpan w:val="3"/>
            <w:tcBorders>
              <w:top w:val="single" w:sz="4" w:space="0" w:color="auto"/>
              <w:left w:val="single" w:sz="4" w:space="0" w:color="auto"/>
            </w:tcBorders>
            <w:shd w:val="clear" w:color="auto" w:fill="auto"/>
            <w:vAlign w:val="bottom"/>
            <w:hideMark/>
          </w:tcPr>
          <w:p w:rsidR="00A70933" w:rsidRPr="008F42CC" w:rsidRDefault="00A70933"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Convertibilidad</w:t>
            </w:r>
          </w:p>
        </w:tc>
        <w:tc>
          <w:tcPr>
            <w:tcW w:w="622" w:type="dxa"/>
            <w:tcBorders>
              <w:top w:val="single" w:sz="4" w:space="0" w:color="auto"/>
            </w:tcBorders>
            <w:shd w:val="clear" w:color="auto" w:fill="auto"/>
            <w:vAlign w:val="bottom"/>
            <w:hideMark/>
          </w:tcPr>
          <w:p w:rsidR="00A70933" w:rsidRDefault="00A70933"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 xml:space="preserve">Pre </w:t>
            </w:r>
          </w:p>
          <w:p w:rsidR="00A70933" w:rsidRPr="008F42CC" w:rsidRDefault="00A70933"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Crisis</w:t>
            </w:r>
          </w:p>
        </w:tc>
        <w:tc>
          <w:tcPr>
            <w:tcW w:w="666" w:type="dxa"/>
            <w:tcBorders>
              <w:top w:val="single" w:sz="4" w:space="0" w:color="auto"/>
            </w:tcBorders>
            <w:shd w:val="clear" w:color="auto" w:fill="auto"/>
            <w:vAlign w:val="bottom"/>
            <w:hideMark/>
          </w:tcPr>
          <w:p w:rsidR="00A70933" w:rsidRDefault="00A70933"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Pos</w:t>
            </w:r>
            <w:r>
              <w:rPr>
                <w:rFonts w:ascii="Times New Roman" w:eastAsia="Times New Roman" w:hAnsi="Times New Roman" w:cs="Times New Roman"/>
                <w:color w:val="000000"/>
                <w:sz w:val="20"/>
                <w:szCs w:val="20"/>
                <w:lang w:eastAsia="es-AR"/>
              </w:rPr>
              <w:t>t</w:t>
            </w:r>
          </w:p>
          <w:p w:rsidR="00A70933" w:rsidRPr="008F42CC" w:rsidRDefault="00A70933"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 xml:space="preserve"> Crisis</w:t>
            </w:r>
          </w:p>
        </w:tc>
        <w:tc>
          <w:tcPr>
            <w:tcW w:w="2248" w:type="dxa"/>
            <w:gridSpan w:val="4"/>
            <w:tcBorders>
              <w:top w:val="single" w:sz="4" w:space="0" w:color="auto"/>
              <w:right w:val="single" w:sz="4" w:space="0" w:color="auto"/>
            </w:tcBorders>
            <w:shd w:val="clear" w:color="auto" w:fill="auto"/>
            <w:vAlign w:val="bottom"/>
            <w:hideMark/>
          </w:tcPr>
          <w:p w:rsidR="00A70933" w:rsidRPr="008F42CC" w:rsidRDefault="00A70933" w:rsidP="008F42CC">
            <w:pPr>
              <w:spacing w:after="0" w:line="240" w:lineRule="auto"/>
              <w:jc w:val="center"/>
              <w:rPr>
                <w:rFonts w:ascii="Times New Roman" w:eastAsia="Times New Roman" w:hAnsi="Times New Roman" w:cs="Times New Roman"/>
                <w:color w:val="000000"/>
                <w:sz w:val="20"/>
                <w:szCs w:val="20"/>
                <w:lang w:eastAsia="es-AR"/>
              </w:rPr>
            </w:pPr>
            <w:r w:rsidRPr="008F42CC">
              <w:rPr>
                <w:rFonts w:ascii="Times New Roman" w:eastAsia="Times New Roman" w:hAnsi="Times New Roman" w:cs="Times New Roman"/>
                <w:color w:val="000000"/>
                <w:sz w:val="20"/>
                <w:szCs w:val="20"/>
                <w:lang w:eastAsia="es-AR"/>
              </w:rPr>
              <w:t>Pos</w:t>
            </w:r>
            <w:r>
              <w:rPr>
                <w:rFonts w:ascii="Times New Roman" w:eastAsia="Times New Roman" w:hAnsi="Times New Roman" w:cs="Times New Roman"/>
                <w:color w:val="000000"/>
                <w:sz w:val="20"/>
                <w:szCs w:val="20"/>
                <w:lang w:eastAsia="es-AR"/>
              </w:rPr>
              <w:t xml:space="preserve">t </w:t>
            </w:r>
            <w:r w:rsidRPr="008F42CC">
              <w:rPr>
                <w:rFonts w:ascii="Times New Roman" w:eastAsia="Times New Roman" w:hAnsi="Times New Roman" w:cs="Times New Roman"/>
                <w:color w:val="000000"/>
                <w:sz w:val="20"/>
                <w:szCs w:val="20"/>
                <w:lang w:eastAsia="es-AR"/>
              </w:rPr>
              <w:t>convertibilidad</w:t>
            </w:r>
          </w:p>
        </w:tc>
      </w:tr>
      <w:tr w:rsidR="00A70933" w:rsidRPr="008F42CC" w:rsidTr="004B3FDA">
        <w:trPr>
          <w:trHeight w:val="293"/>
          <w:jc w:val="center"/>
        </w:trPr>
        <w:tc>
          <w:tcPr>
            <w:tcW w:w="3766" w:type="dxa"/>
            <w:vMerge/>
            <w:tcBorders>
              <w:left w:val="single" w:sz="4" w:space="0" w:color="auto"/>
              <w:bottom w:val="single" w:sz="4" w:space="0" w:color="auto"/>
              <w:right w:val="single" w:sz="4" w:space="0" w:color="auto"/>
            </w:tcBorders>
            <w:shd w:val="clear" w:color="auto" w:fill="auto"/>
            <w:noWrap/>
            <w:vAlign w:val="bottom"/>
            <w:hideMark/>
          </w:tcPr>
          <w:p w:rsidR="00A70933" w:rsidRPr="008F42CC" w:rsidRDefault="00A70933" w:rsidP="008F42CC">
            <w:pPr>
              <w:spacing w:after="0" w:line="240" w:lineRule="auto"/>
              <w:rPr>
                <w:rFonts w:ascii="Times New Roman" w:eastAsia="Times New Roman" w:hAnsi="Times New Roman" w:cs="Times New Roman"/>
                <w:color w:val="000000"/>
                <w:sz w:val="20"/>
                <w:szCs w:val="20"/>
                <w:lang w:eastAsia="es-AR"/>
              </w:rPr>
            </w:pPr>
          </w:p>
        </w:tc>
        <w:tc>
          <w:tcPr>
            <w:tcW w:w="646" w:type="dxa"/>
            <w:tcBorders>
              <w:left w:val="single" w:sz="4" w:space="0" w:color="auto"/>
              <w:bottom w:val="single" w:sz="4" w:space="0" w:color="auto"/>
            </w:tcBorders>
            <w:shd w:val="clear" w:color="auto" w:fill="auto"/>
            <w:vAlign w:val="bottom"/>
            <w:hideMark/>
          </w:tcPr>
          <w:p w:rsidR="00A70933" w:rsidRPr="008F42CC" w:rsidRDefault="00A70933"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1992</w:t>
            </w:r>
          </w:p>
        </w:tc>
        <w:tc>
          <w:tcPr>
            <w:tcW w:w="540" w:type="dxa"/>
            <w:tcBorders>
              <w:bottom w:val="single" w:sz="4" w:space="0" w:color="auto"/>
            </w:tcBorders>
            <w:shd w:val="clear" w:color="auto" w:fill="auto"/>
            <w:vAlign w:val="bottom"/>
            <w:hideMark/>
          </w:tcPr>
          <w:p w:rsidR="00A70933" w:rsidRPr="008F42CC" w:rsidRDefault="00A70933"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1994</w:t>
            </w:r>
          </w:p>
        </w:tc>
        <w:tc>
          <w:tcPr>
            <w:tcW w:w="562" w:type="dxa"/>
            <w:tcBorders>
              <w:bottom w:val="single" w:sz="4" w:space="0" w:color="auto"/>
            </w:tcBorders>
            <w:shd w:val="clear" w:color="auto" w:fill="auto"/>
            <w:vAlign w:val="bottom"/>
            <w:hideMark/>
          </w:tcPr>
          <w:p w:rsidR="00A70933" w:rsidRPr="008F42CC" w:rsidRDefault="00A70933"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1998</w:t>
            </w:r>
          </w:p>
        </w:tc>
        <w:tc>
          <w:tcPr>
            <w:tcW w:w="622" w:type="dxa"/>
            <w:tcBorders>
              <w:bottom w:val="single" w:sz="4" w:space="0" w:color="auto"/>
            </w:tcBorders>
            <w:shd w:val="clear" w:color="auto" w:fill="auto"/>
            <w:vAlign w:val="bottom"/>
            <w:hideMark/>
          </w:tcPr>
          <w:p w:rsidR="00A70933" w:rsidRPr="008F42CC" w:rsidRDefault="00A70933"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2001</w:t>
            </w:r>
          </w:p>
        </w:tc>
        <w:tc>
          <w:tcPr>
            <w:tcW w:w="666" w:type="dxa"/>
            <w:tcBorders>
              <w:bottom w:val="single" w:sz="4" w:space="0" w:color="auto"/>
            </w:tcBorders>
            <w:shd w:val="clear" w:color="auto" w:fill="auto"/>
            <w:vAlign w:val="bottom"/>
            <w:hideMark/>
          </w:tcPr>
          <w:p w:rsidR="00A70933" w:rsidRPr="008F42CC" w:rsidRDefault="00A70933"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2003</w:t>
            </w:r>
          </w:p>
        </w:tc>
        <w:tc>
          <w:tcPr>
            <w:tcW w:w="562" w:type="dxa"/>
            <w:tcBorders>
              <w:bottom w:val="single" w:sz="4" w:space="0" w:color="auto"/>
            </w:tcBorders>
            <w:shd w:val="clear" w:color="auto" w:fill="auto"/>
            <w:vAlign w:val="bottom"/>
            <w:hideMark/>
          </w:tcPr>
          <w:p w:rsidR="00A70933" w:rsidRPr="008F42CC" w:rsidRDefault="00A70933"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2004</w:t>
            </w:r>
          </w:p>
        </w:tc>
        <w:tc>
          <w:tcPr>
            <w:tcW w:w="562" w:type="dxa"/>
            <w:tcBorders>
              <w:bottom w:val="single" w:sz="4" w:space="0" w:color="auto"/>
            </w:tcBorders>
            <w:shd w:val="clear" w:color="auto" w:fill="auto"/>
            <w:vAlign w:val="bottom"/>
            <w:hideMark/>
          </w:tcPr>
          <w:p w:rsidR="00A70933" w:rsidRPr="008F42CC" w:rsidRDefault="00A70933"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2007</w:t>
            </w:r>
          </w:p>
        </w:tc>
        <w:tc>
          <w:tcPr>
            <w:tcW w:w="562" w:type="dxa"/>
            <w:tcBorders>
              <w:bottom w:val="single" w:sz="4" w:space="0" w:color="auto"/>
            </w:tcBorders>
            <w:shd w:val="clear" w:color="auto" w:fill="auto"/>
            <w:vAlign w:val="bottom"/>
            <w:hideMark/>
          </w:tcPr>
          <w:p w:rsidR="00A70933" w:rsidRPr="008F42CC" w:rsidRDefault="00A70933"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2012</w:t>
            </w:r>
          </w:p>
        </w:tc>
        <w:tc>
          <w:tcPr>
            <w:tcW w:w="562" w:type="dxa"/>
            <w:tcBorders>
              <w:bottom w:val="single" w:sz="4" w:space="0" w:color="auto"/>
              <w:right w:val="single" w:sz="4" w:space="0" w:color="auto"/>
            </w:tcBorders>
            <w:shd w:val="clear" w:color="auto" w:fill="auto"/>
            <w:vAlign w:val="bottom"/>
            <w:hideMark/>
          </w:tcPr>
          <w:p w:rsidR="00A70933" w:rsidRPr="008F42CC" w:rsidRDefault="00A70933" w:rsidP="008F42CC">
            <w:pPr>
              <w:spacing w:after="0" w:line="240" w:lineRule="auto"/>
              <w:jc w:val="center"/>
              <w:rPr>
                <w:rFonts w:ascii="Times New Roman" w:eastAsia="Times New Roman" w:hAnsi="Times New Roman" w:cs="Times New Roman"/>
                <w:b/>
                <w:bCs/>
                <w:color w:val="000000"/>
                <w:sz w:val="20"/>
                <w:szCs w:val="20"/>
                <w:lang w:eastAsia="es-AR"/>
              </w:rPr>
            </w:pPr>
            <w:r w:rsidRPr="008F42CC">
              <w:rPr>
                <w:rFonts w:ascii="Times New Roman" w:eastAsia="Times New Roman" w:hAnsi="Times New Roman" w:cs="Times New Roman"/>
                <w:b/>
                <w:bCs/>
                <w:color w:val="000000"/>
                <w:sz w:val="20"/>
                <w:szCs w:val="20"/>
                <w:lang w:eastAsia="es-AR"/>
              </w:rPr>
              <w:t>2014</w:t>
            </w:r>
          </w:p>
        </w:tc>
      </w:tr>
      <w:tr w:rsidR="00E82A78" w:rsidRPr="008F42CC" w:rsidTr="004B3FDA">
        <w:trPr>
          <w:trHeight w:val="281"/>
          <w:jc w:val="center"/>
        </w:trPr>
        <w:tc>
          <w:tcPr>
            <w:tcW w:w="3766" w:type="dxa"/>
            <w:tcBorders>
              <w:top w:val="single" w:sz="4" w:space="0" w:color="auto"/>
              <w:left w:val="single" w:sz="4" w:space="0" w:color="auto"/>
              <w:right w:val="single" w:sz="4" w:space="0" w:color="auto"/>
            </w:tcBorders>
            <w:shd w:val="clear" w:color="auto" w:fill="auto"/>
            <w:noWrap/>
            <w:vAlign w:val="bottom"/>
            <w:hideMark/>
          </w:tcPr>
          <w:p w:rsidR="00E82A78" w:rsidRPr="008F42CC" w:rsidRDefault="00E82A78" w:rsidP="00E82A78">
            <w:pPr>
              <w:spacing w:after="0" w:line="240" w:lineRule="auto"/>
              <w:rPr>
                <w:rFonts w:ascii="Times New Roman" w:eastAsia="Times New Roman" w:hAnsi="Times New Roman" w:cs="Times New Roman"/>
                <w:b/>
                <w:bCs/>
                <w:sz w:val="20"/>
                <w:szCs w:val="20"/>
                <w:lang w:eastAsia="es-AR"/>
              </w:rPr>
            </w:pPr>
            <w:r w:rsidRPr="008F42CC">
              <w:rPr>
                <w:rFonts w:ascii="Times New Roman" w:eastAsia="Times New Roman" w:hAnsi="Times New Roman" w:cs="Times New Roman"/>
                <w:b/>
                <w:bCs/>
                <w:sz w:val="20"/>
                <w:szCs w:val="20"/>
                <w:lang w:eastAsia="es-AR"/>
              </w:rPr>
              <w:t>Sector</w:t>
            </w:r>
            <w:r w:rsidR="007F7344">
              <w:rPr>
                <w:rFonts w:ascii="Times New Roman" w:eastAsia="Times New Roman" w:hAnsi="Times New Roman" w:cs="Times New Roman"/>
                <w:b/>
                <w:bCs/>
                <w:sz w:val="20"/>
                <w:szCs w:val="20"/>
                <w:lang w:eastAsia="es-AR"/>
              </w:rPr>
              <w:t xml:space="preserve"> privado y público</w:t>
            </w:r>
            <w:r w:rsidRPr="008F42CC">
              <w:rPr>
                <w:rFonts w:ascii="Times New Roman" w:eastAsia="Times New Roman" w:hAnsi="Times New Roman" w:cs="Times New Roman"/>
                <w:b/>
                <w:bCs/>
                <w:sz w:val="20"/>
                <w:szCs w:val="20"/>
                <w:lang w:eastAsia="es-AR"/>
              </w:rPr>
              <w:t xml:space="preserve"> formal</w:t>
            </w:r>
            <w:r w:rsidR="007F7344">
              <w:rPr>
                <w:rFonts w:ascii="Times New Roman" w:eastAsia="Times New Roman" w:hAnsi="Times New Roman" w:cs="Times New Roman"/>
                <w:b/>
                <w:bCs/>
                <w:sz w:val="20"/>
                <w:szCs w:val="20"/>
                <w:lang w:eastAsia="es-AR"/>
              </w:rPr>
              <w:t xml:space="preserve"> -</w:t>
            </w:r>
            <w:r w:rsidRPr="008F42CC">
              <w:rPr>
                <w:rFonts w:ascii="Times New Roman" w:eastAsia="Times New Roman" w:hAnsi="Times New Roman" w:cs="Times New Roman"/>
                <w:b/>
                <w:bCs/>
                <w:sz w:val="20"/>
                <w:szCs w:val="20"/>
                <w:lang w:eastAsia="es-AR"/>
              </w:rPr>
              <w:t xml:space="preserve"> </w:t>
            </w:r>
            <w:r w:rsidR="007F7344">
              <w:rPr>
                <w:rFonts w:ascii="Times New Roman" w:eastAsia="Times New Roman" w:hAnsi="Times New Roman" w:cs="Times New Roman"/>
                <w:b/>
                <w:bCs/>
                <w:sz w:val="20"/>
                <w:szCs w:val="20"/>
                <w:lang w:eastAsia="es-AR"/>
              </w:rPr>
              <w:t>A</w:t>
            </w:r>
            <w:r w:rsidRPr="008F42CC">
              <w:rPr>
                <w:rFonts w:ascii="Times New Roman" w:eastAsia="Times New Roman" w:hAnsi="Times New Roman" w:cs="Times New Roman"/>
                <w:b/>
                <w:bCs/>
                <w:sz w:val="20"/>
                <w:szCs w:val="20"/>
                <w:lang w:eastAsia="es-AR"/>
              </w:rPr>
              <w:t>salariados</w:t>
            </w:r>
          </w:p>
        </w:tc>
        <w:tc>
          <w:tcPr>
            <w:tcW w:w="646" w:type="dxa"/>
            <w:tcBorders>
              <w:top w:val="single" w:sz="4" w:space="0" w:color="auto"/>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31,1</w:t>
            </w:r>
          </w:p>
        </w:tc>
        <w:tc>
          <w:tcPr>
            <w:tcW w:w="540" w:type="dxa"/>
            <w:tcBorders>
              <w:top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33,0</w:t>
            </w:r>
          </w:p>
        </w:tc>
        <w:tc>
          <w:tcPr>
            <w:tcW w:w="562" w:type="dxa"/>
            <w:tcBorders>
              <w:top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30,4</w:t>
            </w:r>
          </w:p>
        </w:tc>
        <w:tc>
          <w:tcPr>
            <w:tcW w:w="622" w:type="dxa"/>
            <w:tcBorders>
              <w:top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28,5</w:t>
            </w:r>
          </w:p>
        </w:tc>
        <w:tc>
          <w:tcPr>
            <w:tcW w:w="666" w:type="dxa"/>
            <w:tcBorders>
              <w:top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26,2</w:t>
            </w:r>
          </w:p>
        </w:tc>
        <w:tc>
          <w:tcPr>
            <w:tcW w:w="562" w:type="dxa"/>
            <w:tcBorders>
              <w:top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30,3</w:t>
            </w:r>
          </w:p>
        </w:tc>
        <w:tc>
          <w:tcPr>
            <w:tcW w:w="562" w:type="dxa"/>
            <w:tcBorders>
              <w:top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31,8</w:t>
            </w:r>
          </w:p>
        </w:tc>
        <w:tc>
          <w:tcPr>
            <w:tcW w:w="562" w:type="dxa"/>
            <w:tcBorders>
              <w:top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33,5</w:t>
            </w:r>
          </w:p>
        </w:tc>
        <w:tc>
          <w:tcPr>
            <w:tcW w:w="562" w:type="dxa"/>
            <w:tcBorders>
              <w:top w:val="single" w:sz="4" w:space="0" w:color="auto"/>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33,0</w:t>
            </w:r>
          </w:p>
        </w:tc>
      </w:tr>
      <w:tr w:rsidR="00E82A78" w:rsidRPr="008F42CC" w:rsidTr="004B3FDA">
        <w:trPr>
          <w:trHeight w:val="281"/>
          <w:jc w:val="center"/>
        </w:trPr>
        <w:tc>
          <w:tcPr>
            <w:tcW w:w="3766" w:type="dxa"/>
            <w:tcBorders>
              <w:left w:val="single" w:sz="4" w:space="0" w:color="auto"/>
              <w:right w:val="single" w:sz="4" w:space="0" w:color="auto"/>
            </w:tcBorders>
            <w:shd w:val="clear" w:color="auto" w:fill="auto"/>
            <w:noWrap/>
            <w:vAlign w:val="bottom"/>
            <w:hideMark/>
          </w:tcPr>
          <w:p w:rsidR="00E82A78" w:rsidRPr="008F42CC" w:rsidRDefault="00E82A78" w:rsidP="00E82A78">
            <w:pPr>
              <w:spacing w:after="0" w:line="240" w:lineRule="auto"/>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Regulado</w:t>
            </w:r>
          </w:p>
        </w:tc>
        <w:tc>
          <w:tcPr>
            <w:tcW w:w="646" w:type="dxa"/>
            <w:tcBorders>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34,8</w:t>
            </w:r>
          </w:p>
        </w:tc>
        <w:tc>
          <w:tcPr>
            <w:tcW w:w="540"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37,0</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34,1</w:t>
            </w:r>
          </w:p>
        </w:tc>
        <w:tc>
          <w:tcPr>
            <w:tcW w:w="62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33,1</w:t>
            </w:r>
          </w:p>
        </w:tc>
        <w:tc>
          <w:tcPr>
            <w:tcW w:w="666"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32,1</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34,4</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37,6</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40,0</w:t>
            </w:r>
          </w:p>
        </w:tc>
        <w:tc>
          <w:tcPr>
            <w:tcW w:w="562" w:type="dxa"/>
            <w:tcBorders>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39,2</w:t>
            </w:r>
          </w:p>
        </w:tc>
      </w:tr>
      <w:tr w:rsidR="00E82A78" w:rsidRPr="008F42CC" w:rsidTr="004B3FDA">
        <w:trPr>
          <w:trHeight w:val="293"/>
          <w:jc w:val="center"/>
        </w:trPr>
        <w:tc>
          <w:tcPr>
            <w:tcW w:w="3766" w:type="dxa"/>
            <w:tcBorders>
              <w:left w:val="single" w:sz="4" w:space="0" w:color="auto"/>
              <w:right w:val="single" w:sz="4" w:space="0" w:color="auto"/>
            </w:tcBorders>
            <w:shd w:val="clear" w:color="auto" w:fill="auto"/>
            <w:noWrap/>
            <w:vAlign w:val="bottom"/>
            <w:hideMark/>
          </w:tcPr>
          <w:p w:rsidR="00E82A78" w:rsidRPr="008F42CC" w:rsidRDefault="00E82A78" w:rsidP="00E82A78">
            <w:pPr>
              <w:spacing w:after="0" w:line="240" w:lineRule="auto"/>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No regulado</w:t>
            </w:r>
          </w:p>
        </w:tc>
        <w:tc>
          <w:tcPr>
            <w:tcW w:w="646" w:type="dxa"/>
            <w:tcBorders>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26,1</w:t>
            </w:r>
          </w:p>
        </w:tc>
        <w:tc>
          <w:tcPr>
            <w:tcW w:w="540"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27,3</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25,3</w:t>
            </w:r>
          </w:p>
        </w:tc>
        <w:tc>
          <w:tcPr>
            <w:tcW w:w="62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23,3</w:t>
            </w:r>
          </w:p>
        </w:tc>
        <w:tc>
          <w:tcPr>
            <w:tcW w:w="666"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21,1</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26,7</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26,1</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26,6</w:t>
            </w:r>
          </w:p>
        </w:tc>
        <w:tc>
          <w:tcPr>
            <w:tcW w:w="562" w:type="dxa"/>
            <w:tcBorders>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25,6</w:t>
            </w:r>
          </w:p>
        </w:tc>
      </w:tr>
      <w:tr w:rsidR="00E82A78" w:rsidRPr="008F42CC" w:rsidTr="004B3FDA">
        <w:trPr>
          <w:trHeight w:val="281"/>
          <w:jc w:val="center"/>
        </w:trPr>
        <w:tc>
          <w:tcPr>
            <w:tcW w:w="3766" w:type="dxa"/>
            <w:tcBorders>
              <w:left w:val="single" w:sz="4" w:space="0" w:color="auto"/>
              <w:right w:val="single" w:sz="4" w:space="0" w:color="auto"/>
            </w:tcBorders>
            <w:shd w:val="clear" w:color="auto" w:fill="auto"/>
            <w:noWrap/>
            <w:vAlign w:val="bottom"/>
            <w:hideMark/>
          </w:tcPr>
          <w:p w:rsidR="00E82A78" w:rsidRPr="008F42CC" w:rsidRDefault="00E82A78" w:rsidP="00E82A78">
            <w:pPr>
              <w:spacing w:after="0" w:line="240" w:lineRule="auto"/>
              <w:rPr>
                <w:rFonts w:ascii="Times New Roman" w:eastAsia="Times New Roman" w:hAnsi="Times New Roman" w:cs="Times New Roman"/>
                <w:b/>
                <w:bCs/>
                <w:sz w:val="20"/>
                <w:szCs w:val="20"/>
                <w:lang w:eastAsia="es-AR"/>
              </w:rPr>
            </w:pPr>
            <w:r w:rsidRPr="008F42CC">
              <w:rPr>
                <w:rFonts w:ascii="Times New Roman" w:eastAsia="Times New Roman" w:hAnsi="Times New Roman" w:cs="Times New Roman"/>
                <w:b/>
                <w:bCs/>
                <w:sz w:val="20"/>
                <w:szCs w:val="20"/>
                <w:lang w:eastAsia="es-AR"/>
              </w:rPr>
              <w:t xml:space="preserve">Sector </w:t>
            </w:r>
            <w:r w:rsidR="007F7344">
              <w:rPr>
                <w:rFonts w:ascii="Times New Roman" w:eastAsia="Times New Roman" w:hAnsi="Times New Roman" w:cs="Times New Roman"/>
                <w:b/>
                <w:bCs/>
                <w:sz w:val="20"/>
                <w:szCs w:val="20"/>
                <w:lang w:eastAsia="es-AR"/>
              </w:rPr>
              <w:t xml:space="preserve">privado </w:t>
            </w:r>
            <w:r w:rsidRPr="008F42CC">
              <w:rPr>
                <w:rFonts w:ascii="Times New Roman" w:eastAsia="Times New Roman" w:hAnsi="Times New Roman" w:cs="Times New Roman"/>
                <w:b/>
                <w:bCs/>
                <w:sz w:val="20"/>
                <w:szCs w:val="20"/>
                <w:lang w:eastAsia="es-AR"/>
              </w:rPr>
              <w:t xml:space="preserve">formal </w:t>
            </w:r>
            <w:r w:rsidR="007F7344">
              <w:rPr>
                <w:rFonts w:ascii="Times New Roman" w:eastAsia="Times New Roman" w:hAnsi="Times New Roman" w:cs="Times New Roman"/>
                <w:b/>
                <w:bCs/>
                <w:sz w:val="20"/>
                <w:szCs w:val="20"/>
                <w:lang w:eastAsia="es-AR"/>
              </w:rPr>
              <w:t>- N</w:t>
            </w:r>
            <w:r w:rsidRPr="008F42CC">
              <w:rPr>
                <w:rFonts w:ascii="Times New Roman" w:eastAsia="Times New Roman" w:hAnsi="Times New Roman" w:cs="Times New Roman"/>
                <w:b/>
                <w:bCs/>
                <w:sz w:val="20"/>
                <w:szCs w:val="20"/>
                <w:lang w:eastAsia="es-AR"/>
              </w:rPr>
              <w:t>o asalariados</w:t>
            </w:r>
          </w:p>
        </w:tc>
        <w:tc>
          <w:tcPr>
            <w:tcW w:w="646" w:type="dxa"/>
            <w:tcBorders>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44,2</w:t>
            </w:r>
          </w:p>
        </w:tc>
        <w:tc>
          <w:tcPr>
            <w:tcW w:w="540"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47,6</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43,9</w:t>
            </w:r>
          </w:p>
        </w:tc>
        <w:tc>
          <w:tcPr>
            <w:tcW w:w="62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41,2</w:t>
            </w:r>
          </w:p>
        </w:tc>
        <w:tc>
          <w:tcPr>
            <w:tcW w:w="666"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32,8</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38,2</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39,7</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39,1</w:t>
            </w:r>
          </w:p>
        </w:tc>
        <w:tc>
          <w:tcPr>
            <w:tcW w:w="562" w:type="dxa"/>
            <w:tcBorders>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37,8</w:t>
            </w:r>
          </w:p>
        </w:tc>
      </w:tr>
      <w:tr w:rsidR="00E82A78" w:rsidRPr="008F42CC" w:rsidTr="004B3FDA">
        <w:trPr>
          <w:trHeight w:val="281"/>
          <w:jc w:val="center"/>
        </w:trPr>
        <w:tc>
          <w:tcPr>
            <w:tcW w:w="3766" w:type="dxa"/>
            <w:tcBorders>
              <w:left w:val="single" w:sz="4" w:space="0" w:color="auto"/>
              <w:right w:val="single" w:sz="4" w:space="0" w:color="auto"/>
            </w:tcBorders>
            <w:shd w:val="clear" w:color="auto" w:fill="auto"/>
            <w:noWrap/>
            <w:vAlign w:val="bottom"/>
            <w:hideMark/>
          </w:tcPr>
          <w:p w:rsidR="00E82A78" w:rsidRPr="008F42CC" w:rsidRDefault="00E82A78" w:rsidP="00E82A78">
            <w:pPr>
              <w:spacing w:after="0" w:line="240" w:lineRule="auto"/>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Regulado</w:t>
            </w:r>
          </w:p>
        </w:tc>
        <w:tc>
          <w:tcPr>
            <w:tcW w:w="646" w:type="dxa"/>
            <w:tcBorders>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48,0</w:t>
            </w:r>
          </w:p>
        </w:tc>
        <w:tc>
          <w:tcPr>
            <w:tcW w:w="540"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51,5</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48,0</w:t>
            </w:r>
          </w:p>
        </w:tc>
        <w:tc>
          <w:tcPr>
            <w:tcW w:w="62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45,9</w:t>
            </w:r>
          </w:p>
        </w:tc>
        <w:tc>
          <w:tcPr>
            <w:tcW w:w="666"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38,4</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40,6</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41,7</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41,2</w:t>
            </w:r>
          </w:p>
        </w:tc>
        <w:tc>
          <w:tcPr>
            <w:tcW w:w="562" w:type="dxa"/>
            <w:tcBorders>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40,9</w:t>
            </w:r>
          </w:p>
        </w:tc>
      </w:tr>
      <w:tr w:rsidR="00E82A78" w:rsidRPr="008F42CC" w:rsidTr="004B3FDA">
        <w:trPr>
          <w:trHeight w:val="293"/>
          <w:jc w:val="center"/>
        </w:trPr>
        <w:tc>
          <w:tcPr>
            <w:tcW w:w="3766" w:type="dxa"/>
            <w:tcBorders>
              <w:left w:val="single" w:sz="4" w:space="0" w:color="auto"/>
              <w:right w:val="single" w:sz="4" w:space="0" w:color="auto"/>
            </w:tcBorders>
            <w:shd w:val="clear" w:color="auto" w:fill="auto"/>
            <w:noWrap/>
            <w:vAlign w:val="bottom"/>
            <w:hideMark/>
          </w:tcPr>
          <w:p w:rsidR="00E82A78" w:rsidRPr="008F42CC" w:rsidRDefault="00E82A78" w:rsidP="00E82A78">
            <w:pPr>
              <w:spacing w:after="0" w:line="240" w:lineRule="auto"/>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No regulado</w:t>
            </w:r>
          </w:p>
        </w:tc>
        <w:tc>
          <w:tcPr>
            <w:tcW w:w="646" w:type="dxa"/>
            <w:tcBorders>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40,9</w:t>
            </w:r>
          </w:p>
        </w:tc>
        <w:tc>
          <w:tcPr>
            <w:tcW w:w="540"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43,6</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36,1</w:t>
            </w:r>
          </w:p>
        </w:tc>
        <w:tc>
          <w:tcPr>
            <w:tcW w:w="62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31,5</w:t>
            </w:r>
          </w:p>
        </w:tc>
        <w:tc>
          <w:tcPr>
            <w:tcW w:w="666"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25,3</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33,4</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34,9</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35,0</w:t>
            </w:r>
          </w:p>
        </w:tc>
        <w:tc>
          <w:tcPr>
            <w:tcW w:w="562" w:type="dxa"/>
            <w:tcBorders>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30,8</w:t>
            </w:r>
          </w:p>
        </w:tc>
      </w:tr>
      <w:tr w:rsidR="00E82A78" w:rsidRPr="008F42CC" w:rsidTr="004B3FDA">
        <w:trPr>
          <w:trHeight w:val="281"/>
          <w:jc w:val="center"/>
        </w:trPr>
        <w:tc>
          <w:tcPr>
            <w:tcW w:w="3766" w:type="dxa"/>
            <w:tcBorders>
              <w:left w:val="single" w:sz="4" w:space="0" w:color="auto"/>
              <w:right w:val="single" w:sz="4" w:space="0" w:color="auto"/>
            </w:tcBorders>
            <w:shd w:val="clear" w:color="auto" w:fill="auto"/>
            <w:noWrap/>
            <w:vAlign w:val="bottom"/>
            <w:hideMark/>
          </w:tcPr>
          <w:p w:rsidR="00E82A78" w:rsidRPr="008F42CC" w:rsidRDefault="00E82A78" w:rsidP="00E82A78">
            <w:pPr>
              <w:spacing w:after="0" w:line="240" w:lineRule="auto"/>
              <w:rPr>
                <w:rFonts w:ascii="Times New Roman" w:eastAsia="Times New Roman" w:hAnsi="Times New Roman" w:cs="Times New Roman"/>
                <w:b/>
                <w:bCs/>
                <w:sz w:val="20"/>
                <w:szCs w:val="20"/>
                <w:lang w:eastAsia="es-AR"/>
              </w:rPr>
            </w:pPr>
            <w:r w:rsidRPr="008F42CC">
              <w:rPr>
                <w:rFonts w:ascii="Times New Roman" w:eastAsia="Times New Roman" w:hAnsi="Times New Roman" w:cs="Times New Roman"/>
                <w:b/>
                <w:bCs/>
                <w:sz w:val="20"/>
                <w:szCs w:val="20"/>
                <w:lang w:eastAsia="es-AR"/>
              </w:rPr>
              <w:t>Sector Micro Informal - Asalariados</w:t>
            </w:r>
          </w:p>
        </w:tc>
        <w:tc>
          <w:tcPr>
            <w:tcW w:w="646" w:type="dxa"/>
            <w:tcBorders>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22,9</w:t>
            </w:r>
          </w:p>
        </w:tc>
        <w:tc>
          <w:tcPr>
            <w:tcW w:w="540"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25,2</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22,9</w:t>
            </w:r>
          </w:p>
        </w:tc>
        <w:tc>
          <w:tcPr>
            <w:tcW w:w="62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20,3</w:t>
            </w:r>
          </w:p>
        </w:tc>
        <w:tc>
          <w:tcPr>
            <w:tcW w:w="666"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17,8</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20,4</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20,0</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22,5</w:t>
            </w:r>
          </w:p>
        </w:tc>
        <w:tc>
          <w:tcPr>
            <w:tcW w:w="562" w:type="dxa"/>
            <w:tcBorders>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22,4</w:t>
            </w:r>
          </w:p>
        </w:tc>
      </w:tr>
      <w:tr w:rsidR="00E82A78" w:rsidRPr="008F42CC" w:rsidTr="004B3FDA">
        <w:trPr>
          <w:trHeight w:val="281"/>
          <w:jc w:val="center"/>
        </w:trPr>
        <w:tc>
          <w:tcPr>
            <w:tcW w:w="3766" w:type="dxa"/>
            <w:tcBorders>
              <w:left w:val="single" w:sz="4" w:space="0" w:color="auto"/>
              <w:right w:val="single" w:sz="4" w:space="0" w:color="auto"/>
            </w:tcBorders>
            <w:shd w:val="clear" w:color="auto" w:fill="auto"/>
            <w:noWrap/>
            <w:vAlign w:val="bottom"/>
            <w:hideMark/>
          </w:tcPr>
          <w:p w:rsidR="00E82A78" w:rsidRPr="008F42CC" w:rsidRDefault="00E82A78" w:rsidP="00E82A78">
            <w:pPr>
              <w:spacing w:after="0" w:line="240" w:lineRule="auto"/>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Regulado</w:t>
            </w:r>
          </w:p>
        </w:tc>
        <w:tc>
          <w:tcPr>
            <w:tcW w:w="646" w:type="dxa"/>
            <w:tcBorders>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24,3</w:t>
            </w:r>
          </w:p>
        </w:tc>
        <w:tc>
          <w:tcPr>
            <w:tcW w:w="540"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26,8</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24,3</w:t>
            </w:r>
          </w:p>
        </w:tc>
        <w:tc>
          <w:tcPr>
            <w:tcW w:w="62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24,1</w:t>
            </w:r>
          </w:p>
        </w:tc>
        <w:tc>
          <w:tcPr>
            <w:tcW w:w="666"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22,4</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24,2</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25,9</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23,4</w:t>
            </w:r>
          </w:p>
        </w:tc>
        <w:tc>
          <w:tcPr>
            <w:tcW w:w="562" w:type="dxa"/>
            <w:tcBorders>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22,9</w:t>
            </w:r>
          </w:p>
        </w:tc>
      </w:tr>
      <w:tr w:rsidR="00E82A78" w:rsidRPr="008F42CC" w:rsidTr="004B3FDA">
        <w:trPr>
          <w:trHeight w:val="293"/>
          <w:jc w:val="center"/>
        </w:trPr>
        <w:tc>
          <w:tcPr>
            <w:tcW w:w="3766" w:type="dxa"/>
            <w:tcBorders>
              <w:left w:val="single" w:sz="4" w:space="0" w:color="auto"/>
              <w:right w:val="single" w:sz="4" w:space="0" w:color="auto"/>
            </w:tcBorders>
            <w:shd w:val="clear" w:color="auto" w:fill="auto"/>
            <w:noWrap/>
            <w:vAlign w:val="bottom"/>
            <w:hideMark/>
          </w:tcPr>
          <w:p w:rsidR="00E82A78" w:rsidRPr="008F42CC" w:rsidRDefault="00E82A78" w:rsidP="00E82A78">
            <w:pPr>
              <w:spacing w:after="0" w:line="240" w:lineRule="auto"/>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No regulado</w:t>
            </w:r>
          </w:p>
        </w:tc>
        <w:tc>
          <w:tcPr>
            <w:tcW w:w="646" w:type="dxa"/>
            <w:tcBorders>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22,2</w:t>
            </w:r>
          </w:p>
        </w:tc>
        <w:tc>
          <w:tcPr>
            <w:tcW w:w="540"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24,3</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22,2</w:t>
            </w:r>
          </w:p>
        </w:tc>
        <w:tc>
          <w:tcPr>
            <w:tcW w:w="62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19,2</w:t>
            </w:r>
          </w:p>
        </w:tc>
        <w:tc>
          <w:tcPr>
            <w:tcW w:w="666"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16,9</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19,6</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18,6</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22,3</w:t>
            </w:r>
          </w:p>
        </w:tc>
        <w:tc>
          <w:tcPr>
            <w:tcW w:w="562" w:type="dxa"/>
            <w:tcBorders>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22,2</w:t>
            </w:r>
          </w:p>
        </w:tc>
      </w:tr>
      <w:tr w:rsidR="00E82A78" w:rsidRPr="008F42CC" w:rsidTr="004B3FDA">
        <w:trPr>
          <w:trHeight w:val="281"/>
          <w:jc w:val="center"/>
        </w:trPr>
        <w:tc>
          <w:tcPr>
            <w:tcW w:w="3766" w:type="dxa"/>
            <w:tcBorders>
              <w:left w:val="single" w:sz="4" w:space="0" w:color="auto"/>
              <w:right w:val="single" w:sz="4" w:space="0" w:color="auto"/>
            </w:tcBorders>
            <w:shd w:val="clear" w:color="auto" w:fill="auto"/>
            <w:noWrap/>
            <w:vAlign w:val="bottom"/>
            <w:hideMark/>
          </w:tcPr>
          <w:p w:rsidR="00E82A78" w:rsidRPr="008F42CC" w:rsidRDefault="00E82A78" w:rsidP="00E82A78">
            <w:pPr>
              <w:spacing w:after="0" w:line="240" w:lineRule="auto"/>
              <w:rPr>
                <w:rFonts w:ascii="Times New Roman" w:eastAsia="Times New Roman" w:hAnsi="Times New Roman" w:cs="Times New Roman"/>
                <w:b/>
                <w:bCs/>
                <w:sz w:val="20"/>
                <w:szCs w:val="20"/>
                <w:lang w:eastAsia="es-AR"/>
              </w:rPr>
            </w:pPr>
            <w:r w:rsidRPr="008F42CC">
              <w:rPr>
                <w:rFonts w:ascii="Times New Roman" w:eastAsia="Times New Roman" w:hAnsi="Times New Roman" w:cs="Times New Roman"/>
                <w:b/>
                <w:bCs/>
                <w:sz w:val="20"/>
                <w:szCs w:val="20"/>
                <w:lang w:eastAsia="es-AR"/>
              </w:rPr>
              <w:t>Sector Micro Informal - No asalariados</w:t>
            </w:r>
          </w:p>
        </w:tc>
        <w:tc>
          <w:tcPr>
            <w:tcW w:w="646" w:type="dxa"/>
            <w:tcBorders>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26,1</w:t>
            </w:r>
          </w:p>
        </w:tc>
        <w:tc>
          <w:tcPr>
            <w:tcW w:w="540"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28,3</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26,1</w:t>
            </w:r>
          </w:p>
        </w:tc>
        <w:tc>
          <w:tcPr>
            <w:tcW w:w="62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23,4</w:t>
            </w:r>
          </w:p>
        </w:tc>
        <w:tc>
          <w:tcPr>
            <w:tcW w:w="666"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20,1</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21,2</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21,2</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22,7</w:t>
            </w:r>
          </w:p>
        </w:tc>
        <w:tc>
          <w:tcPr>
            <w:tcW w:w="562" w:type="dxa"/>
            <w:tcBorders>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21,5</w:t>
            </w:r>
          </w:p>
        </w:tc>
      </w:tr>
      <w:tr w:rsidR="00E82A78" w:rsidRPr="008F42CC" w:rsidTr="004B3FDA">
        <w:trPr>
          <w:trHeight w:val="281"/>
          <w:jc w:val="center"/>
        </w:trPr>
        <w:tc>
          <w:tcPr>
            <w:tcW w:w="3766" w:type="dxa"/>
            <w:tcBorders>
              <w:left w:val="single" w:sz="4" w:space="0" w:color="auto"/>
              <w:right w:val="single" w:sz="4" w:space="0" w:color="auto"/>
            </w:tcBorders>
            <w:shd w:val="clear" w:color="auto" w:fill="auto"/>
            <w:noWrap/>
            <w:vAlign w:val="bottom"/>
            <w:hideMark/>
          </w:tcPr>
          <w:p w:rsidR="00E82A78" w:rsidRPr="008F42CC" w:rsidRDefault="00E82A78" w:rsidP="00E82A78">
            <w:pPr>
              <w:spacing w:after="0" w:line="240" w:lineRule="auto"/>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Regulado</w:t>
            </w:r>
          </w:p>
        </w:tc>
        <w:tc>
          <w:tcPr>
            <w:tcW w:w="646" w:type="dxa"/>
            <w:tcBorders>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22,3</w:t>
            </w:r>
          </w:p>
        </w:tc>
        <w:tc>
          <w:tcPr>
            <w:tcW w:w="540"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25,5</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22,3</w:t>
            </w:r>
          </w:p>
        </w:tc>
        <w:tc>
          <w:tcPr>
            <w:tcW w:w="62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21,1</w:t>
            </w:r>
          </w:p>
        </w:tc>
        <w:tc>
          <w:tcPr>
            <w:tcW w:w="666"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20,1</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22,6</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25,9</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21,7</w:t>
            </w:r>
          </w:p>
        </w:tc>
        <w:tc>
          <w:tcPr>
            <w:tcW w:w="562" w:type="dxa"/>
            <w:tcBorders>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22,3</w:t>
            </w:r>
          </w:p>
        </w:tc>
      </w:tr>
      <w:tr w:rsidR="00E82A78" w:rsidRPr="008F42CC" w:rsidTr="004B3FDA">
        <w:trPr>
          <w:trHeight w:val="293"/>
          <w:jc w:val="center"/>
        </w:trPr>
        <w:tc>
          <w:tcPr>
            <w:tcW w:w="3766" w:type="dxa"/>
            <w:tcBorders>
              <w:left w:val="single" w:sz="4" w:space="0" w:color="auto"/>
              <w:right w:val="single" w:sz="4" w:space="0" w:color="auto"/>
            </w:tcBorders>
            <w:shd w:val="clear" w:color="auto" w:fill="auto"/>
            <w:noWrap/>
            <w:vAlign w:val="bottom"/>
            <w:hideMark/>
          </w:tcPr>
          <w:p w:rsidR="00E82A78" w:rsidRPr="008F42CC" w:rsidRDefault="00E82A78" w:rsidP="00E82A78">
            <w:pPr>
              <w:spacing w:after="0" w:line="240" w:lineRule="auto"/>
              <w:rPr>
                <w:rFonts w:ascii="Times New Roman" w:eastAsia="Times New Roman" w:hAnsi="Times New Roman" w:cs="Times New Roman"/>
                <w:sz w:val="20"/>
                <w:szCs w:val="20"/>
                <w:lang w:eastAsia="es-AR"/>
              </w:rPr>
            </w:pPr>
            <w:r w:rsidRPr="008F42CC">
              <w:rPr>
                <w:rFonts w:ascii="Times New Roman" w:eastAsia="Times New Roman" w:hAnsi="Times New Roman" w:cs="Times New Roman"/>
                <w:sz w:val="20"/>
                <w:szCs w:val="20"/>
                <w:lang w:eastAsia="es-AR"/>
              </w:rPr>
              <w:t>No regulado</w:t>
            </w:r>
          </w:p>
        </w:tc>
        <w:tc>
          <w:tcPr>
            <w:tcW w:w="646" w:type="dxa"/>
            <w:tcBorders>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25,2</w:t>
            </w:r>
          </w:p>
        </w:tc>
        <w:tc>
          <w:tcPr>
            <w:tcW w:w="540"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26,3</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25,2</w:t>
            </w:r>
          </w:p>
        </w:tc>
        <w:tc>
          <w:tcPr>
            <w:tcW w:w="62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23,1</w:t>
            </w:r>
          </w:p>
        </w:tc>
        <w:tc>
          <w:tcPr>
            <w:tcW w:w="666"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20,1</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20,9</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19,7</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23,0</w:t>
            </w:r>
          </w:p>
        </w:tc>
        <w:tc>
          <w:tcPr>
            <w:tcW w:w="562" w:type="dxa"/>
            <w:tcBorders>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Cs/>
                <w:color w:val="000000"/>
                <w:sz w:val="20"/>
                <w:szCs w:val="20"/>
                <w:lang w:eastAsia="es-AR"/>
              </w:rPr>
            </w:pPr>
            <w:r w:rsidRPr="00E82A78">
              <w:rPr>
                <w:rFonts w:ascii="Times New Roman" w:eastAsia="Times New Roman" w:hAnsi="Times New Roman" w:cs="Times New Roman"/>
                <w:bCs/>
                <w:color w:val="000000"/>
                <w:sz w:val="20"/>
                <w:szCs w:val="20"/>
                <w:lang w:eastAsia="es-AR"/>
              </w:rPr>
              <w:t>21,2</w:t>
            </w:r>
          </w:p>
        </w:tc>
      </w:tr>
      <w:tr w:rsidR="00E82A78" w:rsidRPr="008F42CC" w:rsidTr="004B3FDA">
        <w:trPr>
          <w:trHeight w:val="293"/>
          <w:jc w:val="center"/>
        </w:trPr>
        <w:tc>
          <w:tcPr>
            <w:tcW w:w="3766" w:type="dxa"/>
            <w:tcBorders>
              <w:left w:val="single" w:sz="4" w:space="0" w:color="auto"/>
              <w:right w:val="single" w:sz="4" w:space="0" w:color="auto"/>
            </w:tcBorders>
            <w:shd w:val="clear" w:color="auto" w:fill="auto"/>
            <w:noWrap/>
            <w:vAlign w:val="bottom"/>
            <w:hideMark/>
          </w:tcPr>
          <w:p w:rsidR="00E82A78" w:rsidRPr="00E82A78" w:rsidRDefault="00E82A78" w:rsidP="00E82A78">
            <w:pPr>
              <w:spacing w:after="0" w:line="240" w:lineRule="auto"/>
              <w:rPr>
                <w:rFonts w:ascii="Times New Roman" w:eastAsia="Times New Roman" w:hAnsi="Times New Roman" w:cs="Times New Roman"/>
                <w:b/>
                <w:bCs/>
                <w:sz w:val="20"/>
                <w:szCs w:val="20"/>
                <w:lang w:eastAsia="es-AR"/>
              </w:rPr>
            </w:pPr>
            <w:r w:rsidRPr="00E82A78">
              <w:rPr>
                <w:rFonts w:ascii="Times New Roman" w:eastAsia="Times New Roman" w:hAnsi="Times New Roman" w:cs="Times New Roman"/>
                <w:b/>
                <w:bCs/>
                <w:sz w:val="20"/>
                <w:szCs w:val="20"/>
                <w:lang w:eastAsia="es-AR"/>
              </w:rPr>
              <w:t xml:space="preserve">Ingreso Medio Total </w:t>
            </w:r>
          </w:p>
        </w:tc>
        <w:tc>
          <w:tcPr>
            <w:tcW w:w="646" w:type="dxa"/>
            <w:tcBorders>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28,3</w:t>
            </w:r>
          </w:p>
        </w:tc>
        <w:tc>
          <w:tcPr>
            <w:tcW w:w="540"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30,9</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28,3</w:t>
            </w:r>
          </w:p>
        </w:tc>
        <w:tc>
          <w:tcPr>
            <w:tcW w:w="62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25,6</w:t>
            </w:r>
          </w:p>
        </w:tc>
        <w:tc>
          <w:tcPr>
            <w:tcW w:w="666"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22,6</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25,9</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27,4</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28,8</w:t>
            </w:r>
          </w:p>
        </w:tc>
        <w:tc>
          <w:tcPr>
            <w:tcW w:w="562" w:type="dxa"/>
            <w:tcBorders>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28,4</w:t>
            </w:r>
          </w:p>
        </w:tc>
      </w:tr>
      <w:tr w:rsidR="00E82A78" w:rsidRPr="008F42CC" w:rsidTr="004B3FDA">
        <w:trPr>
          <w:trHeight w:val="293"/>
          <w:jc w:val="center"/>
        </w:trPr>
        <w:tc>
          <w:tcPr>
            <w:tcW w:w="3766" w:type="dxa"/>
            <w:tcBorders>
              <w:left w:val="single" w:sz="4" w:space="0" w:color="auto"/>
              <w:right w:val="single" w:sz="4" w:space="0" w:color="auto"/>
            </w:tcBorders>
            <w:shd w:val="clear" w:color="auto" w:fill="auto"/>
            <w:noWrap/>
            <w:vAlign w:val="bottom"/>
            <w:hideMark/>
          </w:tcPr>
          <w:p w:rsidR="00E82A78" w:rsidRPr="00E82A78" w:rsidRDefault="00E82A78" w:rsidP="00E82A78">
            <w:pPr>
              <w:spacing w:after="0" w:line="240" w:lineRule="auto"/>
              <w:rPr>
                <w:rFonts w:ascii="Times New Roman" w:eastAsia="Times New Roman" w:hAnsi="Times New Roman" w:cs="Times New Roman"/>
                <w:b/>
                <w:bCs/>
                <w:sz w:val="20"/>
                <w:szCs w:val="20"/>
                <w:lang w:eastAsia="es-AR"/>
              </w:rPr>
            </w:pPr>
            <w:r w:rsidRPr="00E82A78">
              <w:rPr>
                <w:rFonts w:ascii="Times New Roman" w:eastAsia="Times New Roman" w:hAnsi="Times New Roman" w:cs="Times New Roman"/>
                <w:b/>
                <w:bCs/>
                <w:sz w:val="20"/>
                <w:szCs w:val="20"/>
                <w:lang w:eastAsia="es-AR"/>
              </w:rPr>
              <w:t>IMT Sector formal privado y público - Asalariados</w:t>
            </w:r>
          </w:p>
        </w:tc>
        <w:tc>
          <w:tcPr>
            <w:tcW w:w="646" w:type="dxa"/>
            <w:tcBorders>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29,8</w:t>
            </w:r>
          </w:p>
        </w:tc>
        <w:tc>
          <w:tcPr>
            <w:tcW w:w="540"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31,6</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29,8</w:t>
            </w:r>
          </w:p>
        </w:tc>
        <w:tc>
          <w:tcPr>
            <w:tcW w:w="62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27,3</w:t>
            </w:r>
          </w:p>
        </w:tc>
        <w:tc>
          <w:tcPr>
            <w:tcW w:w="666"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26,2</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30,3</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31,8</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33,5</w:t>
            </w:r>
          </w:p>
        </w:tc>
        <w:tc>
          <w:tcPr>
            <w:tcW w:w="562" w:type="dxa"/>
            <w:tcBorders>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33,0</w:t>
            </w:r>
          </w:p>
        </w:tc>
      </w:tr>
      <w:tr w:rsidR="00E82A78" w:rsidRPr="008F42CC" w:rsidTr="004B3FDA">
        <w:trPr>
          <w:trHeight w:val="293"/>
          <w:jc w:val="center"/>
        </w:trPr>
        <w:tc>
          <w:tcPr>
            <w:tcW w:w="3766" w:type="dxa"/>
            <w:tcBorders>
              <w:left w:val="single" w:sz="4" w:space="0" w:color="auto"/>
              <w:right w:val="single" w:sz="4" w:space="0" w:color="auto"/>
            </w:tcBorders>
            <w:shd w:val="clear" w:color="auto" w:fill="auto"/>
            <w:noWrap/>
            <w:vAlign w:val="bottom"/>
            <w:hideMark/>
          </w:tcPr>
          <w:p w:rsidR="00E82A78" w:rsidRPr="00E82A78" w:rsidRDefault="00E82A78" w:rsidP="00E82A78">
            <w:pPr>
              <w:spacing w:after="0" w:line="240" w:lineRule="auto"/>
              <w:rPr>
                <w:rFonts w:ascii="Times New Roman" w:eastAsia="Times New Roman" w:hAnsi="Times New Roman" w:cs="Times New Roman"/>
                <w:b/>
                <w:bCs/>
                <w:sz w:val="20"/>
                <w:szCs w:val="20"/>
                <w:lang w:eastAsia="es-AR"/>
              </w:rPr>
            </w:pPr>
            <w:r w:rsidRPr="00E82A78">
              <w:rPr>
                <w:rFonts w:ascii="Times New Roman" w:eastAsia="Times New Roman" w:hAnsi="Times New Roman" w:cs="Times New Roman"/>
                <w:b/>
                <w:bCs/>
                <w:sz w:val="20"/>
                <w:szCs w:val="20"/>
                <w:lang w:eastAsia="es-AR"/>
              </w:rPr>
              <w:t>IMT Sector privado formal - No asalariados</w:t>
            </w:r>
          </w:p>
        </w:tc>
        <w:tc>
          <w:tcPr>
            <w:tcW w:w="646" w:type="dxa"/>
            <w:tcBorders>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42,8</w:t>
            </w:r>
          </w:p>
        </w:tc>
        <w:tc>
          <w:tcPr>
            <w:tcW w:w="540"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46,0</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42,8</w:t>
            </w:r>
          </w:p>
        </w:tc>
        <w:tc>
          <w:tcPr>
            <w:tcW w:w="62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39,8</w:t>
            </w:r>
          </w:p>
        </w:tc>
        <w:tc>
          <w:tcPr>
            <w:tcW w:w="666"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32,8</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38,2</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39,7</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39,1</w:t>
            </w:r>
          </w:p>
        </w:tc>
        <w:tc>
          <w:tcPr>
            <w:tcW w:w="562" w:type="dxa"/>
            <w:tcBorders>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37,8</w:t>
            </w:r>
          </w:p>
        </w:tc>
      </w:tr>
      <w:tr w:rsidR="00E82A78" w:rsidRPr="008F42CC" w:rsidTr="004B3FDA">
        <w:trPr>
          <w:trHeight w:val="293"/>
          <w:jc w:val="center"/>
        </w:trPr>
        <w:tc>
          <w:tcPr>
            <w:tcW w:w="3766" w:type="dxa"/>
            <w:tcBorders>
              <w:left w:val="single" w:sz="4" w:space="0" w:color="auto"/>
              <w:right w:val="single" w:sz="4" w:space="0" w:color="auto"/>
            </w:tcBorders>
            <w:shd w:val="clear" w:color="auto" w:fill="auto"/>
            <w:noWrap/>
            <w:vAlign w:val="bottom"/>
          </w:tcPr>
          <w:p w:rsidR="00E82A78" w:rsidRPr="00E82A78" w:rsidRDefault="00E82A78" w:rsidP="00E82A78">
            <w:pPr>
              <w:spacing w:after="0" w:line="240" w:lineRule="auto"/>
              <w:rPr>
                <w:rFonts w:ascii="Times New Roman" w:eastAsia="Times New Roman" w:hAnsi="Times New Roman" w:cs="Times New Roman"/>
                <w:b/>
                <w:bCs/>
                <w:sz w:val="20"/>
                <w:szCs w:val="20"/>
                <w:lang w:eastAsia="es-AR"/>
              </w:rPr>
            </w:pPr>
            <w:r w:rsidRPr="00E82A78">
              <w:rPr>
                <w:rFonts w:ascii="Times New Roman" w:eastAsia="Times New Roman" w:hAnsi="Times New Roman" w:cs="Times New Roman"/>
                <w:b/>
                <w:bCs/>
                <w:sz w:val="20"/>
                <w:szCs w:val="20"/>
                <w:lang w:eastAsia="es-AR"/>
              </w:rPr>
              <w:t>IMT Sector Micro Informal - Asalariados</w:t>
            </w:r>
          </w:p>
        </w:tc>
        <w:tc>
          <w:tcPr>
            <w:tcW w:w="646" w:type="dxa"/>
            <w:tcBorders>
              <w:lef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22,9</w:t>
            </w:r>
          </w:p>
        </w:tc>
        <w:tc>
          <w:tcPr>
            <w:tcW w:w="540"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25,2</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22,9</w:t>
            </w:r>
          </w:p>
        </w:tc>
        <w:tc>
          <w:tcPr>
            <w:tcW w:w="62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20,3</w:t>
            </w:r>
          </w:p>
        </w:tc>
        <w:tc>
          <w:tcPr>
            <w:tcW w:w="666"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17,8</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20,4</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20,0</w:t>
            </w:r>
          </w:p>
        </w:tc>
        <w:tc>
          <w:tcPr>
            <w:tcW w:w="562" w:type="dxa"/>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22,5</w:t>
            </w:r>
          </w:p>
        </w:tc>
        <w:tc>
          <w:tcPr>
            <w:tcW w:w="562" w:type="dxa"/>
            <w:tcBorders>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22,4</w:t>
            </w:r>
          </w:p>
        </w:tc>
      </w:tr>
      <w:tr w:rsidR="00E82A78" w:rsidRPr="008F42CC" w:rsidTr="004B3FDA">
        <w:trPr>
          <w:trHeight w:val="293"/>
          <w:jc w:val="center"/>
        </w:trPr>
        <w:tc>
          <w:tcPr>
            <w:tcW w:w="3766" w:type="dxa"/>
            <w:tcBorders>
              <w:left w:val="single" w:sz="4" w:space="0" w:color="auto"/>
              <w:bottom w:val="single" w:sz="4" w:space="0" w:color="auto"/>
              <w:right w:val="single" w:sz="4" w:space="0" w:color="auto"/>
            </w:tcBorders>
            <w:shd w:val="clear" w:color="auto" w:fill="auto"/>
            <w:noWrap/>
            <w:vAlign w:val="bottom"/>
          </w:tcPr>
          <w:p w:rsidR="00E82A78" w:rsidRDefault="00E82A78" w:rsidP="00E82A78">
            <w:pPr>
              <w:spacing w:after="0" w:line="240" w:lineRule="auto"/>
              <w:rPr>
                <w:rFonts w:ascii="Arial" w:hAnsi="Arial" w:cs="Arial"/>
                <w:b/>
                <w:bCs/>
                <w:sz w:val="20"/>
                <w:szCs w:val="20"/>
              </w:rPr>
            </w:pPr>
            <w:r w:rsidRPr="00E82A78">
              <w:rPr>
                <w:rFonts w:ascii="Times New Roman" w:eastAsia="Times New Roman" w:hAnsi="Times New Roman" w:cs="Times New Roman"/>
                <w:b/>
                <w:bCs/>
                <w:sz w:val="20"/>
                <w:szCs w:val="20"/>
                <w:lang w:eastAsia="es-AR"/>
              </w:rPr>
              <w:t>IMT Sector Micro Informal - No asalariados</w:t>
            </w:r>
          </w:p>
        </w:tc>
        <w:tc>
          <w:tcPr>
            <w:tcW w:w="646" w:type="dxa"/>
            <w:tcBorders>
              <w:left w:val="single" w:sz="4" w:space="0" w:color="auto"/>
              <w:bottom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26,1</w:t>
            </w:r>
          </w:p>
        </w:tc>
        <w:tc>
          <w:tcPr>
            <w:tcW w:w="540" w:type="dxa"/>
            <w:tcBorders>
              <w:bottom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28,3</w:t>
            </w:r>
          </w:p>
        </w:tc>
        <w:tc>
          <w:tcPr>
            <w:tcW w:w="562" w:type="dxa"/>
            <w:tcBorders>
              <w:bottom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26,1</w:t>
            </w:r>
          </w:p>
        </w:tc>
        <w:tc>
          <w:tcPr>
            <w:tcW w:w="622" w:type="dxa"/>
            <w:tcBorders>
              <w:bottom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23,4</w:t>
            </w:r>
          </w:p>
        </w:tc>
        <w:tc>
          <w:tcPr>
            <w:tcW w:w="666" w:type="dxa"/>
            <w:tcBorders>
              <w:bottom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20,1</w:t>
            </w:r>
          </w:p>
        </w:tc>
        <w:tc>
          <w:tcPr>
            <w:tcW w:w="562" w:type="dxa"/>
            <w:tcBorders>
              <w:bottom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21,2</w:t>
            </w:r>
          </w:p>
        </w:tc>
        <w:tc>
          <w:tcPr>
            <w:tcW w:w="562" w:type="dxa"/>
            <w:tcBorders>
              <w:bottom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21,2</w:t>
            </w:r>
          </w:p>
        </w:tc>
        <w:tc>
          <w:tcPr>
            <w:tcW w:w="562" w:type="dxa"/>
            <w:tcBorders>
              <w:bottom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22,7</w:t>
            </w:r>
          </w:p>
        </w:tc>
        <w:tc>
          <w:tcPr>
            <w:tcW w:w="562" w:type="dxa"/>
            <w:tcBorders>
              <w:bottom w:val="single" w:sz="4" w:space="0" w:color="auto"/>
              <w:right w:val="single" w:sz="4" w:space="0" w:color="auto"/>
            </w:tcBorders>
            <w:shd w:val="clear" w:color="000000" w:fill="FFFFFF"/>
            <w:noWrap/>
          </w:tcPr>
          <w:p w:rsidR="00E82A78" w:rsidRPr="00E82A78" w:rsidRDefault="00E82A78" w:rsidP="00E82A78">
            <w:pPr>
              <w:spacing w:after="0" w:line="240" w:lineRule="auto"/>
              <w:jc w:val="center"/>
              <w:rPr>
                <w:rFonts w:ascii="Times New Roman" w:eastAsia="Times New Roman" w:hAnsi="Times New Roman" w:cs="Times New Roman"/>
                <w:b/>
                <w:bCs/>
                <w:color w:val="000000"/>
                <w:sz w:val="20"/>
                <w:szCs w:val="20"/>
                <w:lang w:eastAsia="es-AR"/>
              </w:rPr>
            </w:pPr>
            <w:r w:rsidRPr="00E82A78">
              <w:rPr>
                <w:rFonts w:ascii="Times New Roman" w:eastAsia="Times New Roman" w:hAnsi="Times New Roman" w:cs="Times New Roman"/>
                <w:b/>
                <w:bCs/>
                <w:color w:val="000000"/>
                <w:sz w:val="20"/>
                <w:szCs w:val="20"/>
                <w:lang w:eastAsia="es-AR"/>
              </w:rPr>
              <w:t>21,5</w:t>
            </w:r>
          </w:p>
        </w:tc>
      </w:tr>
    </w:tbl>
    <w:p w:rsidR="008F42CC" w:rsidRPr="000B2E33" w:rsidRDefault="008F42CC" w:rsidP="000B2E33">
      <w:pPr>
        <w:tabs>
          <w:tab w:val="left" w:pos="2955"/>
        </w:tabs>
        <w:spacing w:line="240" w:lineRule="auto"/>
        <w:jc w:val="both"/>
        <w:rPr>
          <w:rFonts w:ascii="Times New Roman" w:hAnsi="Times New Roman" w:cs="Times New Roman"/>
          <w:sz w:val="18"/>
        </w:rPr>
      </w:pPr>
      <w:r>
        <w:rPr>
          <w:rFonts w:ascii="Times New Roman" w:hAnsi="Times New Roman" w:cs="Times New Roman"/>
          <w:sz w:val="18"/>
        </w:rPr>
        <w:t>Fuente: Elaboración propia con base en la información procesada por el Programa Cambio Estructural y Desigualdad Social, IIGG-FCS-UBA a partir de la EPH, INDEC (Octubre de 1992, 1994, 1998, 2001 y cuartos trimestres de 2003, 2004, 2007, 2012 y 2014)</w:t>
      </w:r>
      <w:r w:rsidRPr="00C41094">
        <w:rPr>
          <w:rFonts w:ascii="Times New Roman" w:hAnsi="Times New Roman" w:cs="Times New Roman"/>
          <w:sz w:val="18"/>
        </w:rPr>
        <w:t>.</w:t>
      </w:r>
    </w:p>
    <w:p w:rsidR="004B3FDA" w:rsidRDefault="00403A17" w:rsidP="004B3FDA">
      <w:pPr>
        <w:pStyle w:val="Default"/>
        <w:spacing w:line="360" w:lineRule="auto"/>
        <w:ind w:firstLine="340"/>
        <w:jc w:val="both"/>
        <w:rPr>
          <w:rFonts w:ascii="Times New Roman" w:hAnsi="Times New Roman" w:cs="Times New Roman"/>
        </w:rPr>
      </w:pPr>
      <w:r>
        <w:rPr>
          <w:rFonts w:ascii="Times New Roman" w:hAnsi="Times New Roman" w:cs="Times New Roman"/>
        </w:rPr>
        <w:t xml:space="preserve">En el caso del sector micro informal tanto los asalariados como los no asalariados experimentan una tendencia similar, sufriendo un descenso en sus remuneraciones, </w:t>
      </w:r>
      <w:r w:rsidR="007F0420">
        <w:rPr>
          <w:rFonts w:ascii="Times New Roman" w:hAnsi="Times New Roman" w:cs="Times New Roman"/>
        </w:rPr>
        <w:t>siempre</w:t>
      </w:r>
      <w:r>
        <w:rPr>
          <w:rFonts w:ascii="Times New Roman" w:hAnsi="Times New Roman" w:cs="Times New Roman"/>
        </w:rPr>
        <w:t xml:space="preserve"> por debajo del IMT, sobre todo los asalariados. Respecto al segmento las tendencias </w:t>
      </w:r>
      <w:r w:rsidR="00740978">
        <w:rPr>
          <w:rFonts w:ascii="Times New Roman" w:hAnsi="Times New Roman" w:cs="Times New Roman"/>
        </w:rPr>
        <w:t xml:space="preserve">indican que </w:t>
      </w:r>
      <w:r>
        <w:rPr>
          <w:rFonts w:ascii="Times New Roman" w:hAnsi="Times New Roman" w:cs="Times New Roman"/>
        </w:rPr>
        <w:t>los asalariados presentan mejore</w:t>
      </w:r>
      <w:r w:rsidR="00740978">
        <w:rPr>
          <w:rFonts w:ascii="Times New Roman" w:hAnsi="Times New Roman" w:cs="Times New Roman"/>
        </w:rPr>
        <w:t xml:space="preserve">s remuneraciones en el segmento </w:t>
      </w:r>
      <w:r>
        <w:rPr>
          <w:rFonts w:ascii="Times New Roman" w:hAnsi="Times New Roman" w:cs="Times New Roman"/>
        </w:rPr>
        <w:t xml:space="preserve">regulado, y a la inversa para </w:t>
      </w:r>
      <w:r w:rsidR="00740978">
        <w:rPr>
          <w:rFonts w:ascii="Times New Roman" w:hAnsi="Times New Roman" w:cs="Times New Roman"/>
        </w:rPr>
        <w:t>los no asalariados durante el periodo neoliberal, obteniendo mejores salarios los no regulados.</w:t>
      </w:r>
    </w:p>
    <w:p w:rsidR="00E07239" w:rsidRDefault="00E07239" w:rsidP="004B3FDA">
      <w:pPr>
        <w:pStyle w:val="Default"/>
        <w:spacing w:line="360" w:lineRule="auto"/>
        <w:ind w:firstLine="340"/>
        <w:jc w:val="both"/>
        <w:rPr>
          <w:rFonts w:ascii="Times New Roman" w:hAnsi="Times New Roman" w:cs="Times New Roman"/>
        </w:rPr>
      </w:pPr>
    </w:p>
    <w:p w:rsidR="00E07239" w:rsidRDefault="00E07239" w:rsidP="004B3FDA">
      <w:pPr>
        <w:pStyle w:val="Default"/>
        <w:spacing w:line="360" w:lineRule="auto"/>
        <w:ind w:firstLine="340"/>
        <w:jc w:val="both"/>
        <w:rPr>
          <w:rFonts w:ascii="Times New Roman" w:hAnsi="Times New Roman" w:cs="Times New Roman"/>
        </w:rPr>
      </w:pPr>
    </w:p>
    <w:p w:rsidR="00E07239" w:rsidRDefault="00E07239" w:rsidP="004B3FDA">
      <w:pPr>
        <w:pStyle w:val="Default"/>
        <w:spacing w:line="360" w:lineRule="auto"/>
        <w:ind w:firstLine="340"/>
        <w:jc w:val="both"/>
        <w:rPr>
          <w:rFonts w:ascii="Times New Roman" w:hAnsi="Times New Roman" w:cs="Times New Roman"/>
        </w:rPr>
      </w:pPr>
    </w:p>
    <w:p w:rsidR="00E07239" w:rsidRDefault="00E07239" w:rsidP="004B3FDA">
      <w:pPr>
        <w:pStyle w:val="Default"/>
        <w:spacing w:line="360" w:lineRule="auto"/>
        <w:ind w:firstLine="340"/>
        <w:jc w:val="both"/>
        <w:rPr>
          <w:rFonts w:ascii="Times New Roman" w:hAnsi="Times New Roman" w:cs="Times New Roman"/>
        </w:rPr>
      </w:pPr>
    </w:p>
    <w:p w:rsidR="00E07239" w:rsidRDefault="00E07239" w:rsidP="004B3FDA">
      <w:pPr>
        <w:pStyle w:val="Default"/>
        <w:spacing w:line="360" w:lineRule="auto"/>
        <w:ind w:firstLine="340"/>
        <w:jc w:val="both"/>
        <w:rPr>
          <w:rFonts w:ascii="Times New Roman" w:hAnsi="Times New Roman" w:cs="Times New Roman"/>
        </w:rPr>
      </w:pPr>
    </w:p>
    <w:p w:rsidR="00CA25A3" w:rsidRDefault="00CA25A3" w:rsidP="004B3FDA">
      <w:pPr>
        <w:pStyle w:val="Default"/>
        <w:spacing w:line="360" w:lineRule="auto"/>
        <w:ind w:firstLine="340"/>
        <w:jc w:val="both"/>
        <w:rPr>
          <w:rFonts w:ascii="Times New Roman" w:hAnsi="Times New Roman" w:cs="Times New Roman"/>
        </w:rPr>
      </w:pPr>
    </w:p>
    <w:p w:rsidR="00B1577E" w:rsidRDefault="00403A17" w:rsidP="004B3FDA">
      <w:pPr>
        <w:pStyle w:val="Default"/>
        <w:spacing w:line="360" w:lineRule="auto"/>
        <w:ind w:firstLine="340"/>
        <w:jc w:val="both"/>
        <w:rPr>
          <w:rFonts w:ascii="Times New Roman" w:hAnsi="Times New Roman" w:cs="Times New Roman"/>
        </w:rPr>
      </w:pPr>
      <w:r>
        <w:rPr>
          <w:rFonts w:ascii="Times New Roman" w:hAnsi="Times New Roman" w:cs="Times New Roman"/>
        </w:rPr>
        <w:t xml:space="preserve"> </w:t>
      </w:r>
    </w:p>
    <w:p w:rsidR="001F2B73" w:rsidRPr="00CA7AD9" w:rsidRDefault="007B12B1" w:rsidP="00F53551">
      <w:pPr>
        <w:pStyle w:val="Prrafodelista"/>
        <w:numPr>
          <w:ilvl w:val="0"/>
          <w:numId w:val="21"/>
        </w:numPr>
        <w:tabs>
          <w:tab w:val="left" w:pos="2955"/>
        </w:tabs>
        <w:spacing w:line="360" w:lineRule="auto"/>
        <w:ind w:left="700"/>
        <w:jc w:val="both"/>
        <w:rPr>
          <w:rFonts w:ascii="Times New Roman" w:hAnsi="Times New Roman" w:cs="Times New Roman"/>
          <w:b/>
          <w:sz w:val="24"/>
        </w:rPr>
      </w:pPr>
      <w:r w:rsidRPr="00CA7AD9">
        <w:rPr>
          <w:rFonts w:ascii="Times New Roman" w:hAnsi="Times New Roman" w:cs="Times New Roman"/>
          <w:b/>
          <w:sz w:val="24"/>
        </w:rPr>
        <w:lastRenderedPageBreak/>
        <w:t>Conclusiones</w:t>
      </w:r>
    </w:p>
    <w:p w:rsidR="00025499" w:rsidRDefault="00B355C8" w:rsidP="004B3FDA">
      <w:pPr>
        <w:pStyle w:val="Default"/>
        <w:spacing w:line="360" w:lineRule="auto"/>
        <w:ind w:firstLine="340"/>
        <w:jc w:val="both"/>
        <w:rPr>
          <w:rFonts w:ascii="Times New Roman" w:hAnsi="Times New Roman" w:cs="Times New Roman"/>
        </w:rPr>
      </w:pPr>
      <w:r w:rsidRPr="00025499">
        <w:rPr>
          <w:rFonts w:ascii="Times New Roman" w:hAnsi="Times New Roman" w:cs="Times New Roman"/>
        </w:rPr>
        <w:t xml:space="preserve">En el presente estudio buscamos describir y analizar la composición de la estructura ocupacional específicamente para el caso de la fuerza de trabajo joven en el </w:t>
      </w:r>
      <w:r w:rsidR="005316BB">
        <w:rPr>
          <w:rFonts w:ascii="Times New Roman" w:hAnsi="Times New Roman" w:cs="Times New Roman"/>
        </w:rPr>
        <w:t>GBA</w:t>
      </w:r>
      <w:r w:rsidRPr="00025499">
        <w:rPr>
          <w:rFonts w:ascii="Times New Roman" w:hAnsi="Times New Roman" w:cs="Times New Roman"/>
        </w:rPr>
        <w:t xml:space="preserve">, a partir de </w:t>
      </w:r>
      <w:r w:rsidR="00ED4111" w:rsidRPr="00025499">
        <w:rPr>
          <w:rFonts w:ascii="Times New Roman" w:hAnsi="Times New Roman" w:cs="Times New Roman"/>
        </w:rPr>
        <w:t>una serie de antecedentes empíricos sobre</w:t>
      </w:r>
      <w:r w:rsidRPr="00025499">
        <w:rPr>
          <w:rFonts w:ascii="Times New Roman" w:hAnsi="Times New Roman" w:cs="Times New Roman"/>
        </w:rPr>
        <w:t xml:space="preserve"> el total de los ocupados en el mismo territo</w:t>
      </w:r>
      <w:r w:rsidR="000B7BF0" w:rsidRPr="00025499">
        <w:rPr>
          <w:rFonts w:ascii="Times New Roman" w:hAnsi="Times New Roman" w:cs="Times New Roman"/>
        </w:rPr>
        <w:t>rio,</w:t>
      </w:r>
      <w:r w:rsidRPr="00025499">
        <w:rPr>
          <w:rFonts w:ascii="Times New Roman" w:hAnsi="Times New Roman" w:cs="Times New Roman"/>
        </w:rPr>
        <w:t xml:space="preserve"> poniendo el acento en las diferencias del régimen neoliberal de la convertibilidad y en el </w:t>
      </w:r>
      <w:proofErr w:type="spellStart"/>
      <w:r w:rsidRPr="00025499">
        <w:rPr>
          <w:rFonts w:ascii="Times New Roman" w:hAnsi="Times New Roman" w:cs="Times New Roman"/>
        </w:rPr>
        <w:t>neodesarrollista</w:t>
      </w:r>
      <w:proofErr w:type="spellEnd"/>
      <w:r w:rsidRPr="00025499">
        <w:rPr>
          <w:rFonts w:ascii="Times New Roman" w:hAnsi="Times New Roman" w:cs="Times New Roman"/>
        </w:rPr>
        <w:t xml:space="preserve"> de la </w:t>
      </w:r>
      <w:r w:rsidR="000C0411">
        <w:rPr>
          <w:rFonts w:ascii="Times New Roman" w:hAnsi="Times New Roman" w:cs="Times New Roman"/>
        </w:rPr>
        <w:t>post-convertibilidad</w:t>
      </w:r>
      <w:r w:rsidRPr="00025499">
        <w:rPr>
          <w:rFonts w:ascii="Times New Roman" w:hAnsi="Times New Roman" w:cs="Times New Roman"/>
        </w:rPr>
        <w:t xml:space="preserve">. </w:t>
      </w:r>
    </w:p>
    <w:p w:rsidR="00B355C8" w:rsidRDefault="00B355C8" w:rsidP="004B3FDA">
      <w:pPr>
        <w:pStyle w:val="Default"/>
        <w:spacing w:line="360" w:lineRule="auto"/>
        <w:ind w:firstLine="340"/>
        <w:jc w:val="both"/>
        <w:rPr>
          <w:rFonts w:ascii="Times New Roman" w:hAnsi="Times New Roman" w:cs="Times New Roman"/>
        </w:rPr>
      </w:pPr>
      <w:r w:rsidRPr="00025499">
        <w:rPr>
          <w:rFonts w:ascii="Times New Roman" w:hAnsi="Times New Roman" w:cs="Times New Roman"/>
        </w:rPr>
        <w:t xml:space="preserve">Pudimos ver entonces que las tendencias generales se replican en la estructura de empleo joven, </w:t>
      </w:r>
      <w:r w:rsidR="00025499">
        <w:rPr>
          <w:rFonts w:ascii="Times New Roman" w:hAnsi="Times New Roman" w:cs="Times New Roman"/>
        </w:rPr>
        <w:t>aunque l</w:t>
      </w:r>
      <w:r w:rsidRPr="00025499">
        <w:rPr>
          <w:rFonts w:ascii="Times New Roman" w:hAnsi="Times New Roman" w:cs="Times New Roman"/>
        </w:rPr>
        <w:t xml:space="preserve">os momentos de recuperación parecen alcanzarlos con mayor dificultad. </w:t>
      </w:r>
      <w:r w:rsidR="001960B9">
        <w:rPr>
          <w:rFonts w:ascii="Times New Roman" w:hAnsi="Times New Roman" w:cs="Times New Roman"/>
        </w:rPr>
        <w:t>Pese</w:t>
      </w:r>
      <w:r w:rsidRPr="00025499">
        <w:rPr>
          <w:rFonts w:ascii="Times New Roman" w:hAnsi="Times New Roman" w:cs="Times New Roman"/>
        </w:rPr>
        <w:t xml:space="preserve"> a las ventajas demográficas y laborales, la fuerza de trabajo joven no escapa a las rigideces en la estructura económico ocupacional ya registradas para el conjunto de los trabajadores del </w:t>
      </w:r>
      <w:r w:rsidR="005316BB">
        <w:rPr>
          <w:rFonts w:ascii="Times New Roman" w:hAnsi="Times New Roman" w:cs="Times New Roman"/>
        </w:rPr>
        <w:t>GBA</w:t>
      </w:r>
      <w:r w:rsidRPr="00025499">
        <w:rPr>
          <w:rFonts w:ascii="Times New Roman" w:hAnsi="Times New Roman" w:cs="Times New Roman"/>
        </w:rPr>
        <w:t xml:space="preserve">. </w:t>
      </w:r>
      <w:r w:rsidR="00C4714D" w:rsidRPr="00C4714D">
        <w:rPr>
          <w:rFonts w:ascii="Times New Roman" w:hAnsi="Times New Roman" w:cs="Times New Roman"/>
        </w:rPr>
        <w:t>Los empleos no regulados registran</w:t>
      </w:r>
      <w:r w:rsidR="00F5610E">
        <w:rPr>
          <w:rFonts w:ascii="Times New Roman" w:hAnsi="Times New Roman" w:cs="Times New Roman"/>
        </w:rPr>
        <w:t xml:space="preserve"> altos porcentajes</w:t>
      </w:r>
      <w:r w:rsidR="00C4714D" w:rsidRPr="00C4714D">
        <w:rPr>
          <w:rFonts w:ascii="Times New Roman" w:hAnsi="Times New Roman" w:cs="Times New Roman"/>
        </w:rPr>
        <w:t xml:space="preserve"> en todos los </w:t>
      </w:r>
      <w:r w:rsidR="00F5610E">
        <w:rPr>
          <w:rFonts w:ascii="Times New Roman" w:hAnsi="Times New Roman" w:cs="Times New Roman"/>
        </w:rPr>
        <w:t>sectores, sobre todo en el sector público e informal superando el 50%</w:t>
      </w:r>
      <w:r w:rsidR="00C4714D" w:rsidRPr="00C4714D">
        <w:rPr>
          <w:rFonts w:ascii="Times New Roman" w:hAnsi="Times New Roman" w:cs="Times New Roman"/>
        </w:rPr>
        <w:t xml:space="preserve"> y las remuneraciones reales acompañan el proceso de heterogeneidad de la estructura productiva y su funcionamiento segmentado. De este modo, se confirma una estrecha asociación entre el tipo de empleo o segmento del mercado y el sector o categoría económico-ocupacional, tanto en ciclos de retracción ocupacional como en períodos de aumento de la demanda agregada de empleo, con su correlato</w:t>
      </w:r>
      <w:r w:rsidR="00C4714D">
        <w:rPr>
          <w:rFonts w:ascii="Times New Roman" w:hAnsi="Times New Roman" w:cs="Times New Roman"/>
        </w:rPr>
        <w:t xml:space="preserve"> en las remuneraciones reales. </w:t>
      </w:r>
    </w:p>
    <w:p w:rsidR="00025499" w:rsidRDefault="00B14D0B" w:rsidP="004B3FDA">
      <w:pPr>
        <w:pStyle w:val="Default"/>
        <w:spacing w:line="360" w:lineRule="auto"/>
        <w:ind w:firstLine="340"/>
        <w:jc w:val="both"/>
        <w:rPr>
          <w:rFonts w:ascii="Times New Roman" w:hAnsi="Times New Roman" w:cs="Times New Roman"/>
        </w:rPr>
      </w:pPr>
      <w:r>
        <w:rPr>
          <w:rFonts w:ascii="Times New Roman" w:hAnsi="Times New Roman" w:cs="Times New Roman"/>
        </w:rPr>
        <w:t>A lo largo del</w:t>
      </w:r>
      <w:r w:rsidR="00025499">
        <w:rPr>
          <w:rFonts w:ascii="Times New Roman" w:hAnsi="Times New Roman" w:cs="Times New Roman"/>
        </w:rPr>
        <w:t xml:space="preserve"> análisis </w:t>
      </w:r>
      <w:r>
        <w:rPr>
          <w:rFonts w:ascii="Times New Roman" w:hAnsi="Times New Roman" w:cs="Times New Roman"/>
        </w:rPr>
        <w:t>de las tendencias laborales</w:t>
      </w:r>
      <w:r w:rsidR="00025499">
        <w:rPr>
          <w:rFonts w:ascii="Times New Roman" w:hAnsi="Times New Roman" w:cs="Times New Roman"/>
        </w:rPr>
        <w:t xml:space="preserve"> de la fuerza de trabajo joven de estos últimos </w:t>
      </w:r>
      <w:r>
        <w:rPr>
          <w:rFonts w:ascii="Times New Roman" w:hAnsi="Times New Roman" w:cs="Times New Roman"/>
        </w:rPr>
        <w:t>veinte años se pueden observar ciertos</w:t>
      </w:r>
      <w:r w:rsidR="00025499">
        <w:rPr>
          <w:rFonts w:ascii="Times New Roman" w:hAnsi="Times New Roman" w:cs="Times New Roman"/>
        </w:rPr>
        <w:t xml:space="preserve"> puntos de inflexión asociados a medidas adoptadas por el Estado ante determinada situación coyuntural</w:t>
      </w:r>
      <w:r>
        <w:rPr>
          <w:rFonts w:ascii="Times New Roman" w:hAnsi="Times New Roman" w:cs="Times New Roman"/>
        </w:rPr>
        <w:t>, que desdibuja</w:t>
      </w:r>
      <w:r w:rsidR="00025499">
        <w:rPr>
          <w:rFonts w:ascii="Times New Roman" w:hAnsi="Times New Roman" w:cs="Times New Roman"/>
        </w:rPr>
        <w:t xml:space="preserve"> </w:t>
      </w:r>
      <w:r w:rsidR="000A7E7F">
        <w:rPr>
          <w:rFonts w:ascii="Times New Roman" w:hAnsi="Times New Roman" w:cs="Times New Roman"/>
        </w:rPr>
        <w:t xml:space="preserve">parcialmente </w:t>
      </w:r>
      <w:r w:rsidR="00025499">
        <w:rPr>
          <w:rFonts w:ascii="Times New Roman" w:hAnsi="Times New Roman" w:cs="Times New Roman"/>
        </w:rPr>
        <w:t xml:space="preserve">la lectura asociada a los ciclos económicos. </w:t>
      </w:r>
      <w:r w:rsidR="00BC7993">
        <w:rPr>
          <w:rFonts w:ascii="Times New Roman" w:hAnsi="Times New Roman" w:cs="Times New Roman"/>
        </w:rPr>
        <w:t xml:space="preserve">De esta forma, se da cierto desfasaje de los ciclos planteados, entendiendo que </w:t>
      </w:r>
      <w:r w:rsidR="007D3231">
        <w:rPr>
          <w:rFonts w:ascii="Times New Roman" w:hAnsi="Times New Roman" w:cs="Times New Roman"/>
        </w:rPr>
        <w:t>hay una asociación más</w:t>
      </w:r>
      <w:r w:rsidR="00BC7993">
        <w:rPr>
          <w:rFonts w:ascii="Times New Roman" w:hAnsi="Times New Roman" w:cs="Times New Roman"/>
        </w:rPr>
        <w:t xml:space="preserve"> </w:t>
      </w:r>
      <w:r w:rsidR="007D3231">
        <w:rPr>
          <w:rFonts w:ascii="Times New Roman" w:hAnsi="Times New Roman" w:cs="Times New Roman"/>
        </w:rPr>
        <w:t>estrecha</w:t>
      </w:r>
      <w:r w:rsidR="002B5BFD">
        <w:rPr>
          <w:rFonts w:ascii="Times New Roman" w:hAnsi="Times New Roman" w:cs="Times New Roman"/>
        </w:rPr>
        <w:t xml:space="preserve"> </w:t>
      </w:r>
      <w:r w:rsidR="00BC7993">
        <w:rPr>
          <w:rFonts w:ascii="Times New Roman" w:hAnsi="Times New Roman" w:cs="Times New Roman"/>
        </w:rPr>
        <w:t xml:space="preserve">con determinadas intervenciones estatales de relevancia para la economía en general y las condiciones de vida de la población en particular. </w:t>
      </w:r>
    </w:p>
    <w:p w:rsidR="00D317FA" w:rsidRDefault="00BC7993" w:rsidP="004B3FDA">
      <w:pPr>
        <w:pStyle w:val="Default"/>
        <w:spacing w:line="360" w:lineRule="auto"/>
        <w:ind w:firstLine="340"/>
        <w:jc w:val="both"/>
        <w:rPr>
          <w:rFonts w:ascii="Times New Roman" w:hAnsi="Times New Roman" w:cs="Times New Roman"/>
        </w:rPr>
      </w:pPr>
      <w:r>
        <w:rPr>
          <w:rFonts w:ascii="Times New Roman" w:hAnsi="Times New Roman" w:cs="Times New Roman"/>
        </w:rPr>
        <w:t xml:space="preserve">En este sentido pudimos ver que los </w:t>
      </w:r>
      <w:r w:rsidR="00441931">
        <w:rPr>
          <w:rFonts w:ascii="Times New Roman" w:hAnsi="Times New Roman" w:cs="Times New Roman"/>
        </w:rPr>
        <w:t>jóvenes</w:t>
      </w:r>
      <w:r>
        <w:rPr>
          <w:rFonts w:ascii="Times New Roman" w:hAnsi="Times New Roman" w:cs="Times New Roman"/>
        </w:rPr>
        <w:t xml:space="preserve"> se emplearon principalmente en el sector formal de la estructura de empleo, seguido por un fuerte porcentaje de trabajadores en el sector informal, pero durante el periodo </w:t>
      </w:r>
      <w:proofErr w:type="spellStart"/>
      <w:r w:rsidR="00C00CF6">
        <w:rPr>
          <w:rFonts w:ascii="Times New Roman" w:hAnsi="Times New Roman" w:cs="Times New Roman"/>
        </w:rPr>
        <w:t>neodesarrollista</w:t>
      </w:r>
      <w:proofErr w:type="spellEnd"/>
      <w:r w:rsidR="00C00CF6">
        <w:rPr>
          <w:rFonts w:ascii="Times New Roman" w:hAnsi="Times New Roman" w:cs="Times New Roman"/>
        </w:rPr>
        <w:t xml:space="preserve"> </w:t>
      </w:r>
      <w:r>
        <w:rPr>
          <w:rFonts w:ascii="Times New Roman" w:hAnsi="Times New Roman" w:cs="Times New Roman"/>
        </w:rPr>
        <w:t xml:space="preserve">de la </w:t>
      </w:r>
      <w:r w:rsidR="000C0411">
        <w:rPr>
          <w:rFonts w:ascii="Times New Roman" w:hAnsi="Times New Roman" w:cs="Times New Roman"/>
        </w:rPr>
        <w:t>post-convertibilidad</w:t>
      </w:r>
      <w:r>
        <w:rPr>
          <w:rFonts w:ascii="Times New Roman" w:hAnsi="Times New Roman" w:cs="Times New Roman"/>
        </w:rPr>
        <w:t xml:space="preserve"> cuando el sector formal tiende a decrecer, aumenta el sector público principalmente (10% en el año 2012).</w:t>
      </w:r>
      <w:r w:rsidR="00777D95">
        <w:rPr>
          <w:rFonts w:ascii="Times New Roman" w:hAnsi="Times New Roman" w:cs="Times New Roman"/>
        </w:rPr>
        <w:t xml:space="preserve"> </w:t>
      </w:r>
      <w:r w:rsidR="00D317FA">
        <w:rPr>
          <w:rFonts w:ascii="Times New Roman" w:hAnsi="Times New Roman" w:cs="Times New Roman"/>
        </w:rPr>
        <w:t xml:space="preserve">En este sentido, también hemos puesto en evidencia que esto no implicó un cambio estructural en relación a la calidad de los empleos para este grupo etario. </w:t>
      </w:r>
    </w:p>
    <w:p w:rsidR="00BC7993" w:rsidRDefault="00777D95" w:rsidP="004B3FDA">
      <w:pPr>
        <w:pStyle w:val="Default"/>
        <w:spacing w:line="360" w:lineRule="auto"/>
        <w:ind w:firstLine="340"/>
        <w:jc w:val="both"/>
        <w:rPr>
          <w:rFonts w:ascii="Times New Roman" w:hAnsi="Times New Roman" w:cs="Times New Roman"/>
        </w:rPr>
      </w:pPr>
      <w:r>
        <w:rPr>
          <w:rFonts w:ascii="Times New Roman" w:hAnsi="Times New Roman" w:cs="Times New Roman"/>
        </w:rPr>
        <w:t xml:space="preserve">Lo mismo </w:t>
      </w:r>
      <w:r w:rsidR="000A7E7F">
        <w:rPr>
          <w:rFonts w:ascii="Times New Roman" w:hAnsi="Times New Roman" w:cs="Times New Roman"/>
        </w:rPr>
        <w:t>s</w:t>
      </w:r>
      <w:r w:rsidR="002B5BFD">
        <w:rPr>
          <w:rFonts w:ascii="Times New Roman" w:hAnsi="Times New Roman" w:cs="Times New Roman"/>
        </w:rPr>
        <w:t>e observa en</w:t>
      </w:r>
      <w:r>
        <w:rPr>
          <w:rFonts w:ascii="Times New Roman" w:hAnsi="Times New Roman" w:cs="Times New Roman"/>
        </w:rPr>
        <w:t xml:space="preserve"> los salarios; si bien hemos registrado una caída de las remuneraciones en general, el sector público es el único que aumentó sus valores. Esto nos habla </w:t>
      </w:r>
      <w:r>
        <w:rPr>
          <w:rFonts w:ascii="Times New Roman" w:hAnsi="Times New Roman" w:cs="Times New Roman"/>
        </w:rPr>
        <w:lastRenderedPageBreak/>
        <w:t xml:space="preserve">del fortalecimiento del empleo público en la </w:t>
      </w:r>
      <w:r w:rsidR="000C0411">
        <w:rPr>
          <w:rFonts w:ascii="Times New Roman" w:hAnsi="Times New Roman" w:cs="Times New Roman"/>
        </w:rPr>
        <w:t>post-convertibilidad</w:t>
      </w:r>
      <w:r>
        <w:rPr>
          <w:rFonts w:ascii="Times New Roman" w:hAnsi="Times New Roman" w:cs="Times New Roman"/>
        </w:rPr>
        <w:t xml:space="preserve">, sobre todo en comparación al periodo </w:t>
      </w:r>
      <w:r w:rsidR="00C00CF6">
        <w:rPr>
          <w:rFonts w:ascii="Times New Roman" w:hAnsi="Times New Roman" w:cs="Times New Roman"/>
        </w:rPr>
        <w:t xml:space="preserve">neoliberal </w:t>
      </w:r>
      <w:r>
        <w:rPr>
          <w:rFonts w:ascii="Times New Roman" w:hAnsi="Times New Roman" w:cs="Times New Roman"/>
        </w:rPr>
        <w:t xml:space="preserve">de la convertibilidad en donde ha habido un fuerte congelamiento de vacantes en este sector. </w:t>
      </w:r>
    </w:p>
    <w:p w:rsidR="00777D95" w:rsidRDefault="00BC7993" w:rsidP="004B3FDA">
      <w:pPr>
        <w:pStyle w:val="Default"/>
        <w:spacing w:line="360" w:lineRule="auto"/>
        <w:ind w:firstLine="340"/>
        <w:jc w:val="both"/>
        <w:rPr>
          <w:rFonts w:ascii="Times New Roman" w:hAnsi="Times New Roman" w:cs="Times New Roman"/>
        </w:rPr>
      </w:pPr>
      <w:r w:rsidRPr="004B3FDA">
        <w:rPr>
          <w:rFonts w:ascii="Times New Roman" w:hAnsi="Times New Roman" w:cs="Times New Roman"/>
        </w:rPr>
        <w:t>Podemos hacer una lectura similar cuando verificamos el crecimiento de los jóvenes asalariados</w:t>
      </w:r>
      <w:r>
        <w:rPr>
          <w:rFonts w:ascii="Times New Roman" w:hAnsi="Times New Roman" w:cs="Times New Roman"/>
        </w:rPr>
        <w:t xml:space="preserve"> formales</w:t>
      </w:r>
      <w:r w:rsidR="00C00CF6">
        <w:rPr>
          <w:rFonts w:ascii="Times New Roman" w:hAnsi="Times New Roman" w:cs="Times New Roman"/>
        </w:rPr>
        <w:t xml:space="preserve"> del sector privado y público</w:t>
      </w:r>
      <w:r>
        <w:rPr>
          <w:rFonts w:ascii="Times New Roman" w:hAnsi="Times New Roman" w:cs="Times New Roman"/>
        </w:rPr>
        <w:t>, pensando en el fortalecimiento de políticas activas de regulación durante el periodo</w:t>
      </w:r>
      <w:r w:rsidR="00C00CF6">
        <w:rPr>
          <w:rFonts w:ascii="Times New Roman" w:hAnsi="Times New Roman" w:cs="Times New Roman"/>
        </w:rPr>
        <w:t xml:space="preserve"> </w:t>
      </w:r>
      <w:proofErr w:type="spellStart"/>
      <w:r w:rsidR="00C00CF6">
        <w:rPr>
          <w:rFonts w:ascii="Times New Roman" w:hAnsi="Times New Roman" w:cs="Times New Roman"/>
        </w:rPr>
        <w:t>neodesarrollista</w:t>
      </w:r>
      <w:proofErr w:type="spellEnd"/>
      <w:r>
        <w:rPr>
          <w:rFonts w:ascii="Times New Roman" w:hAnsi="Times New Roman" w:cs="Times New Roman"/>
        </w:rPr>
        <w:t xml:space="preserve"> de la </w:t>
      </w:r>
      <w:r w:rsidR="000C0411">
        <w:rPr>
          <w:rFonts w:ascii="Times New Roman" w:hAnsi="Times New Roman" w:cs="Times New Roman"/>
        </w:rPr>
        <w:t>post-convertibilidad</w:t>
      </w:r>
      <w:r>
        <w:rPr>
          <w:rFonts w:ascii="Times New Roman" w:hAnsi="Times New Roman" w:cs="Times New Roman"/>
        </w:rPr>
        <w:t>, además de las desventajas con las que ya sabemos que cuentan los jóvenes para lograr estabilizarse en tr</w:t>
      </w:r>
      <w:r w:rsidR="00777D95">
        <w:rPr>
          <w:rFonts w:ascii="Times New Roman" w:hAnsi="Times New Roman" w:cs="Times New Roman"/>
        </w:rPr>
        <w:t xml:space="preserve">abajos no asalariados formales, de calidad. </w:t>
      </w:r>
    </w:p>
    <w:p w:rsidR="00777D95" w:rsidRDefault="00777D95" w:rsidP="004B3FDA">
      <w:pPr>
        <w:pStyle w:val="Default"/>
        <w:spacing w:line="360" w:lineRule="auto"/>
        <w:ind w:firstLine="340"/>
        <w:jc w:val="both"/>
        <w:rPr>
          <w:rFonts w:ascii="Times New Roman" w:hAnsi="Times New Roman" w:cs="Times New Roman"/>
        </w:rPr>
      </w:pPr>
      <w:r w:rsidRPr="004B3FDA">
        <w:rPr>
          <w:rFonts w:ascii="Times New Roman" w:hAnsi="Times New Roman" w:cs="Times New Roman"/>
        </w:rPr>
        <w:t xml:space="preserve">Respecto a la calidad de los empleos de los </w:t>
      </w:r>
      <w:r w:rsidR="008A5D62" w:rsidRPr="004B3FDA">
        <w:rPr>
          <w:rFonts w:ascii="Times New Roman" w:hAnsi="Times New Roman" w:cs="Times New Roman"/>
        </w:rPr>
        <w:t>jóvenes</w:t>
      </w:r>
      <w:r w:rsidRPr="004B3FDA">
        <w:rPr>
          <w:rFonts w:ascii="Times New Roman" w:hAnsi="Times New Roman" w:cs="Times New Roman"/>
        </w:rPr>
        <w:t xml:space="preserve"> es donde realmente podemos ver </w:t>
      </w:r>
      <w:r w:rsidR="00D317FA" w:rsidRPr="004B3FDA">
        <w:rPr>
          <w:rFonts w:ascii="Times New Roman" w:hAnsi="Times New Roman" w:cs="Times New Roman"/>
        </w:rPr>
        <w:t>una mayor</w:t>
      </w:r>
      <w:r>
        <w:rPr>
          <w:rFonts w:ascii="Times New Roman" w:hAnsi="Times New Roman" w:cs="Times New Roman"/>
        </w:rPr>
        <w:t xml:space="preserve"> diferencia</w:t>
      </w:r>
      <w:r w:rsidR="00D317FA">
        <w:rPr>
          <w:rFonts w:ascii="Times New Roman" w:hAnsi="Times New Roman" w:cs="Times New Roman"/>
        </w:rPr>
        <w:t xml:space="preserve"> en cuanto al sector micro informal</w:t>
      </w:r>
      <w:r>
        <w:rPr>
          <w:rFonts w:ascii="Times New Roman" w:hAnsi="Times New Roman" w:cs="Times New Roman"/>
        </w:rPr>
        <w:t xml:space="preserve">. </w:t>
      </w:r>
      <w:r w:rsidR="000A7E7F">
        <w:rPr>
          <w:rFonts w:ascii="Times New Roman" w:hAnsi="Times New Roman" w:cs="Times New Roman"/>
        </w:rPr>
        <w:t xml:space="preserve">Durante el régimen </w:t>
      </w:r>
      <w:proofErr w:type="spellStart"/>
      <w:r w:rsidR="000A7E7F">
        <w:rPr>
          <w:rFonts w:ascii="Times New Roman" w:hAnsi="Times New Roman" w:cs="Times New Roman"/>
        </w:rPr>
        <w:t>neodesarrollista</w:t>
      </w:r>
      <w:proofErr w:type="spellEnd"/>
      <w:r w:rsidR="000A7E7F">
        <w:rPr>
          <w:rFonts w:ascii="Times New Roman" w:hAnsi="Times New Roman" w:cs="Times New Roman"/>
        </w:rPr>
        <w:t xml:space="preserve"> de la</w:t>
      </w:r>
      <w:r>
        <w:rPr>
          <w:rFonts w:ascii="Times New Roman" w:hAnsi="Times New Roman" w:cs="Times New Roman"/>
        </w:rPr>
        <w:t xml:space="preserve"> </w:t>
      </w:r>
      <w:r w:rsidR="000A7E7F">
        <w:rPr>
          <w:rFonts w:ascii="Times New Roman" w:hAnsi="Times New Roman" w:cs="Times New Roman"/>
        </w:rPr>
        <w:t xml:space="preserve">post </w:t>
      </w:r>
      <w:r w:rsidR="000C0411">
        <w:rPr>
          <w:rFonts w:ascii="Times New Roman" w:hAnsi="Times New Roman" w:cs="Times New Roman"/>
        </w:rPr>
        <w:t>convertibilidad</w:t>
      </w:r>
      <w:r w:rsidR="000A7E7F">
        <w:rPr>
          <w:rFonts w:ascii="Times New Roman" w:hAnsi="Times New Roman" w:cs="Times New Roman"/>
        </w:rPr>
        <w:t xml:space="preserve"> </w:t>
      </w:r>
      <w:r w:rsidR="00D317FA">
        <w:rPr>
          <w:rFonts w:ascii="Times New Roman" w:hAnsi="Times New Roman" w:cs="Times New Roman"/>
        </w:rPr>
        <w:t>dicho sector</w:t>
      </w:r>
      <w:r>
        <w:rPr>
          <w:rFonts w:ascii="Times New Roman" w:hAnsi="Times New Roman" w:cs="Times New Roman"/>
        </w:rPr>
        <w:t xml:space="preserve"> continúa </w:t>
      </w:r>
      <w:r w:rsidR="000A7E7F">
        <w:rPr>
          <w:rFonts w:ascii="Times New Roman" w:hAnsi="Times New Roman" w:cs="Times New Roman"/>
        </w:rPr>
        <w:t>rondando el</w:t>
      </w:r>
      <w:r>
        <w:rPr>
          <w:rFonts w:ascii="Times New Roman" w:hAnsi="Times New Roman" w:cs="Times New Roman"/>
        </w:rPr>
        <w:t xml:space="preserve"> 80% (</w:t>
      </w:r>
      <w:r w:rsidR="000A7E7F">
        <w:rPr>
          <w:rFonts w:ascii="Times New Roman" w:hAnsi="Times New Roman" w:cs="Times New Roman"/>
        </w:rPr>
        <w:t>1</w:t>
      </w:r>
      <w:r>
        <w:rPr>
          <w:rFonts w:ascii="Times New Roman" w:hAnsi="Times New Roman" w:cs="Times New Roman"/>
        </w:rPr>
        <w:t>0 puntos porcentuales más que en la convertibilidad). Es cierto que el sector formal y el público han logrado disminuir sus porcentajes de empleos no regulados,</w:t>
      </w:r>
      <w:r w:rsidR="00D317FA">
        <w:rPr>
          <w:rFonts w:ascii="Times New Roman" w:hAnsi="Times New Roman" w:cs="Times New Roman"/>
        </w:rPr>
        <w:t xml:space="preserve"> en un parcial salto cualitativo de los puestos ofrecidos,</w:t>
      </w:r>
      <w:r>
        <w:rPr>
          <w:rFonts w:ascii="Times New Roman" w:hAnsi="Times New Roman" w:cs="Times New Roman"/>
        </w:rPr>
        <w:t xml:space="preserve"> pero no así el sector informal que parece absorber dichas caídas.</w:t>
      </w:r>
    </w:p>
    <w:p w:rsidR="00A64EFA" w:rsidRDefault="00777D95" w:rsidP="004B3FDA">
      <w:pPr>
        <w:pStyle w:val="Default"/>
        <w:spacing w:line="360" w:lineRule="auto"/>
        <w:ind w:firstLine="340"/>
        <w:jc w:val="both"/>
        <w:rPr>
          <w:rFonts w:ascii="Times New Roman" w:hAnsi="Times New Roman" w:cs="Times New Roman"/>
        </w:rPr>
      </w:pPr>
      <w:r>
        <w:rPr>
          <w:rFonts w:ascii="Times New Roman" w:hAnsi="Times New Roman" w:cs="Times New Roman"/>
        </w:rPr>
        <w:t xml:space="preserve">En síntesis, si bien podemos encontrar puntos de inflexión interesantes pensando en que efectivamente se puede intervenir y lograr cambios significativos para este grupo de edad, la realidad es que los </w:t>
      </w:r>
      <w:r w:rsidR="00A64EFA">
        <w:rPr>
          <w:rFonts w:ascii="Times New Roman" w:hAnsi="Times New Roman" w:cs="Times New Roman"/>
        </w:rPr>
        <w:t>jóvenes</w:t>
      </w:r>
      <w:r>
        <w:rPr>
          <w:rFonts w:ascii="Times New Roman" w:hAnsi="Times New Roman" w:cs="Times New Roman"/>
        </w:rPr>
        <w:t xml:space="preserve"> continúan accediendo a empleos de menor calidad respecto a los adultos, y tienen mayores dificultades para mantenerlos. La tasa de desempleo nos muestra que si bien ha disminuido a la mitad (30% en el año de la crisis, a 15% para finales de la </w:t>
      </w:r>
      <w:r w:rsidR="000A7E7F">
        <w:rPr>
          <w:rFonts w:ascii="Times New Roman" w:hAnsi="Times New Roman" w:cs="Times New Roman"/>
        </w:rPr>
        <w:t xml:space="preserve">post </w:t>
      </w:r>
      <w:r w:rsidR="000C0411">
        <w:rPr>
          <w:rFonts w:ascii="Times New Roman" w:hAnsi="Times New Roman" w:cs="Times New Roman"/>
        </w:rPr>
        <w:t>convertibilidad</w:t>
      </w:r>
      <w:r>
        <w:rPr>
          <w:rFonts w:ascii="Times New Roman" w:hAnsi="Times New Roman" w:cs="Times New Roman"/>
        </w:rPr>
        <w:t xml:space="preserve">), continúa siendo </w:t>
      </w:r>
      <w:r w:rsidR="00C4714D">
        <w:rPr>
          <w:rFonts w:ascii="Times New Roman" w:hAnsi="Times New Roman" w:cs="Times New Roman"/>
        </w:rPr>
        <w:t xml:space="preserve">superior a la de los adultos, siendo aún por demás </w:t>
      </w:r>
      <w:r>
        <w:rPr>
          <w:rFonts w:ascii="Times New Roman" w:hAnsi="Times New Roman" w:cs="Times New Roman"/>
        </w:rPr>
        <w:t xml:space="preserve">preocupante la </w:t>
      </w:r>
      <w:r w:rsidR="00C4714D">
        <w:rPr>
          <w:rFonts w:ascii="Times New Roman" w:hAnsi="Times New Roman" w:cs="Times New Roman"/>
        </w:rPr>
        <w:t xml:space="preserve">inestable y precaria </w:t>
      </w:r>
      <w:r>
        <w:rPr>
          <w:rFonts w:ascii="Times New Roman" w:hAnsi="Times New Roman" w:cs="Times New Roman"/>
        </w:rPr>
        <w:t xml:space="preserve">situación laboral </w:t>
      </w:r>
      <w:r w:rsidR="00C4714D">
        <w:rPr>
          <w:rFonts w:ascii="Times New Roman" w:hAnsi="Times New Roman" w:cs="Times New Roman"/>
        </w:rPr>
        <w:t>de</w:t>
      </w:r>
      <w:r>
        <w:rPr>
          <w:rFonts w:ascii="Times New Roman" w:hAnsi="Times New Roman" w:cs="Times New Roman"/>
        </w:rPr>
        <w:t xml:space="preserve"> este grupo.</w:t>
      </w:r>
      <w:r w:rsidR="00A64EFA">
        <w:rPr>
          <w:rFonts w:ascii="Times New Roman" w:hAnsi="Times New Roman" w:cs="Times New Roman"/>
        </w:rPr>
        <w:t xml:space="preserve"> </w:t>
      </w:r>
    </w:p>
    <w:p w:rsidR="003A36BE" w:rsidRDefault="00A64EFA" w:rsidP="004B3FDA">
      <w:pPr>
        <w:pStyle w:val="Default"/>
        <w:spacing w:line="360" w:lineRule="auto"/>
        <w:ind w:firstLine="340"/>
        <w:jc w:val="both"/>
        <w:rPr>
          <w:rFonts w:ascii="Times New Roman" w:hAnsi="Times New Roman" w:cs="Times New Roman"/>
        </w:rPr>
      </w:pPr>
      <w:r>
        <w:rPr>
          <w:rFonts w:ascii="Times New Roman" w:hAnsi="Times New Roman" w:cs="Times New Roman"/>
        </w:rPr>
        <w:t xml:space="preserve">Queda pendiente extender el análisis a los años posteriores al 2014, fundamentalmente a partir del año </w:t>
      </w:r>
      <w:r w:rsidR="00AD6C3F">
        <w:rPr>
          <w:rFonts w:ascii="Times New Roman" w:hAnsi="Times New Roman" w:cs="Times New Roman"/>
        </w:rPr>
        <w:t xml:space="preserve">2016 </w:t>
      </w:r>
      <w:r>
        <w:rPr>
          <w:rFonts w:ascii="Times New Roman" w:hAnsi="Times New Roman" w:cs="Times New Roman"/>
        </w:rPr>
        <w:t xml:space="preserve">tras el cambio de gobierno que </w:t>
      </w:r>
      <w:r w:rsidR="00AD6C3F">
        <w:rPr>
          <w:rFonts w:ascii="Times New Roman" w:hAnsi="Times New Roman" w:cs="Times New Roman"/>
        </w:rPr>
        <w:t>parece estar implementando una serie de fuertes</w:t>
      </w:r>
      <w:r>
        <w:rPr>
          <w:rFonts w:ascii="Times New Roman" w:hAnsi="Times New Roman" w:cs="Times New Roman"/>
        </w:rPr>
        <w:t xml:space="preserve"> transformaciones en la matriz económico-ocupacional </w:t>
      </w:r>
      <w:r w:rsidR="005D60EB">
        <w:rPr>
          <w:rFonts w:ascii="Times New Roman" w:hAnsi="Times New Roman" w:cs="Times New Roman"/>
        </w:rPr>
        <w:t>argentina</w:t>
      </w:r>
      <w:r w:rsidR="00AD6C3F">
        <w:rPr>
          <w:rFonts w:ascii="Times New Roman" w:hAnsi="Times New Roman" w:cs="Times New Roman"/>
        </w:rPr>
        <w:t>. Particularmente</w:t>
      </w:r>
      <w:r>
        <w:rPr>
          <w:rFonts w:ascii="Times New Roman" w:hAnsi="Times New Roman" w:cs="Times New Roman"/>
        </w:rPr>
        <w:t xml:space="preserve"> introduciendo</w:t>
      </w:r>
      <w:r w:rsidR="00824254">
        <w:rPr>
          <w:rFonts w:ascii="Times New Roman" w:hAnsi="Times New Roman" w:cs="Times New Roman"/>
        </w:rPr>
        <w:t xml:space="preserve"> nuevos interrogantes surgidos del presente análisis a partir de pensar</w:t>
      </w:r>
      <w:r>
        <w:rPr>
          <w:rFonts w:ascii="Times New Roman" w:hAnsi="Times New Roman" w:cs="Times New Roman"/>
        </w:rPr>
        <w:t xml:space="preserve"> </w:t>
      </w:r>
      <w:r w:rsidR="00824254">
        <w:rPr>
          <w:rFonts w:ascii="Times New Roman" w:hAnsi="Times New Roman" w:cs="Times New Roman"/>
        </w:rPr>
        <w:t xml:space="preserve">el comportamiento de las variables laborales en el grupo de jóvenes </w:t>
      </w:r>
      <w:r w:rsidR="00312C87">
        <w:rPr>
          <w:rFonts w:ascii="Times New Roman" w:hAnsi="Times New Roman" w:cs="Times New Roman"/>
        </w:rPr>
        <w:t>desde una perspectiva de género</w:t>
      </w:r>
      <w:r w:rsidR="000A7E7F">
        <w:rPr>
          <w:rFonts w:ascii="Times New Roman" w:hAnsi="Times New Roman" w:cs="Times New Roman"/>
        </w:rPr>
        <w:t>, así como la incorporación del análisis del nivel educativo, de importancia para pensar la inclusión social de los jóvenes</w:t>
      </w:r>
      <w:r w:rsidR="00312C87">
        <w:rPr>
          <w:rFonts w:ascii="Times New Roman" w:hAnsi="Times New Roman" w:cs="Times New Roman"/>
        </w:rPr>
        <w:t xml:space="preserve">. </w:t>
      </w:r>
    </w:p>
    <w:p w:rsidR="006E3224" w:rsidRDefault="006E3224" w:rsidP="004B3FDA">
      <w:pPr>
        <w:pStyle w:val="Default"/>
        <w:spacing w:line="360" w:lineRule="auto"/>
        <w:ind w:firstLine="340"/>
        <w:jc w:val="both"/>
        <w:rPr>
          <w:rFonts w:ascii="Times New Roman" w:hAnsi="Times New Roman" w:cs="Times New Roman"/>
        </w:rPr>
      </w:pPr>
    </w:p>
    <w:p w:rsidR="006E3224" w:rsidRDefault="006E3224" w:rsidP="004B3FDA">
      <w:pPr>
        <w:pStyle w:val="Default"/>
        <w:spacing w:line="360" w:lineRule="auto"/>
        <w:ind w:firstLine="340"/>
        <w:jc w:val="both"/>
        <w:rPr>
          <w:rFonts w:ascii="Times New Roman" w:hAnsi="Times New Roman" w:cs="Times New Roman"/>
        </w:rPr>
      </w:pPr>
    </w:p>
    <w:p w:rsidR="006E3224" w:rsidRDefault="006E3224" w:rsidP="004B3FDA">
      <w:pPr>
        <w:pStyle w:val="Default"/>
        <w:spacing w:line="360" w:lineRule="auto"/>
        <w:ind w:firstLine="340"/>
        <w:jc w:val="both"/>
        <w:rPr>
          <w:rFonts w:ascii="Times New Roman" w:hAnsi="Times New Roman" w:cs="Times New Roman"/>
        </w:rPr>
      </w:pPr>
    </w:p>
    <w:p w:rsidR="003A36BE" w:rsidRPr="008A5D62" w:rsidRDefault="003A36BE" w:rsidP="00CA7AD9">
      <w:pPr>
        <w:pStyle w:val="Prrafodelista"/>
        <w:numPr>
          <w:ilvl w:val="0"/>
          <w:numId w:val="21"/>
        </w:numPr>
        <w:spacing w:line="360" w:lineRule="auto"/>
        <w:jc w:val="both"/>
        <w:rPr>
          <w:rFonts w:ascii="Times New Roman" w:hAnsi="Times New Roman" w:cs="Times New Roman"/>
          <w:sz w:val="24"/>
        </w:rPr>
      </w:pPr>
      <w:r w:rsidRPr="008A5D62">
        <w:rPr>
          <w:rFonts w:ascii="Times New Roman" w:hAnsi="Times New Roman" w:cs="Times New Roman"/>
          <w:b/>
          <w:sz w:val="24"/>
        </w:rPr>
        <w:lastRenderedPageBreak/>
        <w:t>Bibliografía</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2F3B01">
        <w:rPr>
          <w:rFonts w:ascii="Times New Roman" w:hAnsi="Times New Roman" w:cs="Times New Roman"/>
          <w:sz w:val="24"/>
          <w:szCs w:val="24"/>
        </w:rPr>
        <w:t>Az</w:t>
      </w:r>
      <w:r w:rsidR="00E07239">
        <w:rPr>
          <w:rFonts w:ascii="Times New Roman" w:hAnsi="Times New Roman" w:cs="Times New Roman"/>
          <w:sz w:val="24"/>
          <w:szCs w:val="24"/>
        </w:rPr>
        <w:t>piazu</w:t>
      </w:r>
      <w:proofErr w:type="spellEnd"/>
      <w:r w:rsidR="00E07239">
        <w:rPr>
          <w:rFonts w:ascii="Times New Roman" w:hAnsi="Times New Roman" w:cs="Times New Roman"/>
          <w:sz w:val="24"/>
          <w:szCs w:val="24"/>
        </w:rPr>
        <w:t xml:space="preserve">, D. y </w:t>
      </w:r>
      <w:proofErr w:type="spellStart"/>
      <w:r w:rsidR="00E07239">
        <w:rPr>
          <w:rFonts w:ascii="Times New Roman" w:hAnsi="Times New Roman" w:cs="Times New Roman"/>
          <w:sz w:val="24"/>
          <w:szCs w:val="24"/>
        </w:rPr>
        <w:t>Schorr</w:t>
      </w:r>
      <w:proofErr w:type="spellEnd"/>
      <w:r w:rsidR="00E07239">
        <w:rPr>
          <w:rFonts w:ascii="Times New Roman" w:hAnsi="Times New Roman" w:cs="Times New Roman"/>
          <w:sz w:val="24"/>
          <w:szCs w:val="24"/>
        </w:rPr>
        <w:t xml:space="preserve">, M. (2008): </w:t>
      </w:r>
      <w:r w:rsidRPr="002F3B01">
        <w:rPr>
          <w:rFonts w:ascii="Times New Roman" w:hAnsi="Times New Roman" w:cs="Times New Roman"/>
          <w:sz w:val="24"/>
          <w:szCs w:val="24"/>
        </w:rPr>
        <w:t xml:space="preserve">Continuidades y rupturas en la industria argentina: del modelo de los noventa a la </w:t>
      </w:r>
      <w:r>
        <w:rPr>
          <w:rFonts w:ascii="Times New Roman" w:hAnsi="Times New Roman" w:cs="Times New Roman"/>
          <w:sz w:val="24"/>
          <w:szCs w:val="24"/>
        </w:rPr>
        <w:t>post-convertibilidad</w:t>
      </w:r>
      <w:r w:rsidRPr="002F3B01">
        <w:rPr>
          <w:rFonts w:ascii="Times New Roman" w:hAnsi="Times New Roman" w:cs="Times New Roman"/>
          <w:sz w:val="24"/>
          <w:szCs w:val="24"/>
        </w:rPr>
        <w:t>. Reflexio</w:t>
      </w:r>
      <w:r w:rsidR="00E07239">
        <w:rPr>
          <w:rFonts w:ascii="Times New Roman" w:hAnsi="Times New Roman" w:cs="Times New Roman"/>
          <w:sz w:val="24"/>
          <w:szCs w:val="24"/>
        </w:rPr>
        <w:t>nes preliminares</w:t>
      </w:r>
      <w:r w:rsidRPr="002F3B01">
        <w:rPr>
          <w:rFonts w:ascii="Times New Roman" w:hAnsi="Times New Roman" w:cs="Times New Roman"/>
          <w:sz w:val="24"/>
          <w:szCs w:val="24"/>
        </w:rPr>
        <w:t xml:space="preserve">, en </w:t>
      </w:r>
      <w:r w:rsidRPr="00E07239">
        <w:rPr>
          <w:rFonts w:ascii="Times New Roman" w:hAnsi="Times New Roman" w:cs="Times New Roman"/>
          <w:i/>
          <w:sz w:val="24"/>
          <w:szCs w:val="24"/>
        </w:rPr>
        <w:t>Realidad Económica</w:t>
      </w:r>
      <w:r w:rsidR="00E07239">
        <w:rPr>
          <w:rFonts w:ascii="Times New Roman" w:hAnsi="Times New Roman" w:cs="Times New Roman"/>
          <w:i/>
          <w:sz w:val="24"/>
          <w:szCs w:val="24"/>
        </w:rPr>
        <w:t xml:space="preserve"> </w:t>
      </w:r>
      <w:r w:rsidR="00E07239">
        <w:rPr>
          <w:rFonts w:ascii="Times New Roman" w:hAnsi="Times New Roman" w:cs="Times New Roman"/>
          <w:sz w:val="24"/>
          <w:szCs w:val="24"/>
        </w:rPr>
        <w:t>(pp. 29-59)</w:t>
      </w:r>
      <w:r w:rsidRPr="002F3B01">
        <w:rPr>
          <w:rFonts w:ascii="Times New Roman" w:hAnsi="Times New Roman" w:cs="Times New Roman"/>
          <w:sz w:val="24"/>
          <w:szCs w:val="24"/>
        </w:rPr>
        <w:t>, Nº 240.</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C53B5D">
        <w:rPr>
          <w:rFonts w:ascii="Times New Roman" w:hAnsi="Times New Roman" w:cs="Times New Roman"/>
          <w:sz w:val="24"/>
          <w:szCs w:val="24"/>
        </w:rPr>
        <w:t>Assusa</w:t>
      </w:r>
      <w:proofErr w:type="spellEnd"/>
      <w:r w:rsidRPr="00C53B5D">
        <w:rPr>
          <w:rFonts w:ascii="Times New Roman" w:hAnsi="Times New Roman" w:cs="Times New Roman"/>
          <w:sz w:val="24"/>
          <w:szCs w:val="24"/>
        </w:rPr>
        <w:t xml:space="preserve">, G; </w:t>
      </w:r>
      <w:proofErr w:type="spellStart"/>
      <w:r w:rsidRPr="00C53B5D">
        <w:rPr>
          <w:rFonts w:ascii="Times New Roman" w:hAnsi="Times New Roman" w:cs="Times New Roman"/>
          <w:sz w:val="24"/>
          <w:szCs w:val="24"/>
        </w:rPr>
        <w:t>Brandán</w:t>
      </w:r>
      <w:proofErr w:type="spellEnd"/>
      <w:r w:rsidRPr="00C53B5D">
        <w:rPr>
          <w:rFonts w:ascii="Times New Roman" w:hAnsi="Times New Roman" w:cs="Times New Roman"/>
          <w:sz w:val="24"/>
          <w:szCs w:val="24"/>
        </w:rPr>
        <w:t xml:space="preserve"> </w:t>
      </w:r>
      <w:proofErr w:type="spellStart"/>
      <w:r w:rsidRPr="00C53B5D">
        <w:rPr>
          <w:rFonts w:ascii="Times New Roman" w:hAnsi="Times New Roman" w:cs="Times New Roman"/>
          <w:sz w:val="24"/>
          <w:szCs w:val="24"/>
        </w:rPr>
        <w:t>Zehnder</w:t>
      </w:r>
      <w:proofErr w:type="spellEnd"/>
      <w:r w:rsidRPr="00C53B5D">
        <w:rPr>
          <w:rFonts w:ascii="Times New Roman" w:hAnsi="Times New Roman" w:cs="Times New Roman"/>
          <w:sz w:val="24"/>
          <w:szCs w:val="24"/>
        </w:rPr>
        <w:t>, M</w:t>
      </w:r>
      <w:r>
        <w:rPr>
          <w:rFonts w:ascii="Times New Roman" w:hAnsi="Times New Roman" w:cs="Times New Roman"/>
          <w:sz w:val="24"/>
          <w:szCs w:val="24"/>
        </w:rPr>
        <w:t xml:space="preserve"> (2014)</w:t>
      </w:r>
      <w:r w:rsidR="00E07239">
        <w:rPr>
          <w:rFonts w:ascii="Times New Roman" w:hAnsi="Times New Roman" w:cs="Times New Roman"/>
          <w:sz w:val="24"/>
          <w:szCs w:val="24"/>
        </w:rPr>
        <w:t xml:space="preserve"> </w:t>
      </w:r>
      <w:r w:rsidRPr="00C53B5D">
        <w:rPr>
          <w:rFonts w:ascii="Times New Roman" w:hAnsi="Times New Roman" w:cs="Times New Roman"/>
          <w:sz w:val="24"/>
          <w:szCs w:val="24"/>
        </w:rPr>
        <w:t>La empleabilidad, sus sentidos y dispositivos: un estudio de caso desde la perspectiva de los beneficiarios del Programa Jóvenes Más y Mejor Trabajo en Córdoba Capital,</w:t>
      </w:r>
      <w:r w:rsidR="00E07239">
        <w:rPr>
          <w:rFonts w:ascii="Times New Roman" w:hAnsi="Times New Roman" w:cs="Times New Roman"/>
          <w:sz w:val="24"/>
          <w:szCs w:val="24"/>
        </w:rPr>
        <w:t xml:space="preserve"> Argentina.</w:t>
      </w:r>
      <w:r w:rsidRPr="00C53B5D">
        <w:rPr>
          <w:rFonts w:ascii="Times New Roman" w:hAnsi="Times New Roman" w:cs="Times New Roman"/>
          <w:sz w:val="24"/>
          <w:szCs w:val="24"/>
        </w:rPr>
        <w:t xml:space="preserve"> </w:t>
      </w:r>
      <w:r w:rsidR="00E07239">
        <w:rPr>
          <w:rFonts w:ascii="Times New Roman" w:hAnsi="Times New Roman" w:cs="Times New Roman"/>
          <w:sz w:val="24"/>
          <w:szCs w:val="24"/>
        </w:rPr>
        <w:t xml:space="preserve">En </w:t>
      </w:r>
      <w:proofErr w:type="spellStart"/>
      <w:r w:rsidRPr="00E07239">
        <w:rPr>
          <w:rFonts w:ascii="Times New Roman" w:hAnsi="Times New Roman" w:cs="Times New Roman"/>
          <w:i/>
          <w:sz w:val="24"/>
          <w:szCs w:val="24"/>
        </w:rPr>
        <w:t>Sociedade</w:t>
      </w:r>
      <w:proofErr w:type="spellEnd"/>
      <w:r w:rsidRPr="00E07239">
        <w:rPr>
          <w:rFonts w:ascii="Times New Roman" w:hAnsi="Times New Roman" w:cs="Times New Roman"/>
          <w:i/>
          <w:sz w:val="24"/>
          <w:szCs w:val="24"/>
        </w:rPr>
        <w:t xml:space="preserve"> e Cultura</w:t>
      </w:r>
      <w:r w:rsidRPr="00C53B5D">
        <w:rPr>
          <w:rFonts w:ascii="Times New Roman" w:hAnsi="Times New Roman" w:cs="Times New Roman"/>
          <w:sz w:val="24"/>
          <w:szCs w:val="24"/>
        </w:rPr>
        <w:t>,</w:t>
      </w:r>
      <w:r>
        <w:rPr>
          <w:rFonts w:ascii="Times New Roman" w:hAnsi="Times New Roman" w:cs="Times New Roman"/>
          <w:sz w:val="24"/>
          <w:szCs w:val="24"/>
        </w:rPr>
        <w:t xml:space="preserve"> vol. 17, núm. 1, enero-junio</w:t>
      </w:r>
      <w:r w:rsidRPr="00C53B5D">
        <w:rPr>
          <w:rFonts w:ascii="Times New Roman" w:hAnsi="Times New Roman" w:cs="Times New Roman"/>
          <w:sz w:val="24"/>
          <w:szCs w:val="24"/>
        </w:rPr>
        <w:t xml:space="preserve">, pp. 121-132 </w:t>
      </w:r>
      <w:proofErr w:type="spellStart"/>
      <w:r w:rsidRPr="00C53B5D">
        <w:rPr>
          <w:rFonts w:ascii="Times New Roman" w:hAnsi="Times New Roman" w:cs="Times New Roman"/>
          <w:sz w:val="24"/>
          <w:szCs w:val="24"/>
        </w:rPr>
        <w:t>Universidade</w:t>
      </w:r>
      <w:proofErr w:type="spellEnd"/>
      <w:r w:rsidRPr="00C53B5D">
        <w:rPr>
          <w:rFonts w:ascii="Times New Roman" w:hAnsi="Times New Roman" w:cs="Times New Roman"/>
          <w:sz w:val="24"/>
          <w:szCs w:val="24"/>
        </w:rPr>
        <w:t xml:space="preserve"> Federal de Goiás </w:t>
      </w:r>
      <w:proofErr w:type="spellStart"/>
      <w:r w:rsidRPr="00C53B5D">
        <w:rPr>
          <w:rFonts w:ascii="Times New Roman" w:hAnsi="Times New Roman" w:cs="Times New Roman"/>
          <w:sz w:val="24"/>
          <w:szCs w:val="24"/>
        </w:rPr>
        <w:t>Goiania</w:t>
      </w:r>
      <w:proofErr w:type="spellEnd"/>
      <w:r w:rsidRPr="00C53B5D">
        <w:rPr>
          <w:rFonts w:ascii="Times New Roman" w:hAnsi="Times New Roman" w:cs="Times New Roman"/>
          <w:sz w:val="24"/>
          <w:szCs w:val="24"/>
        </w:rPr>
        <w:t>, Brasil</w:t>
      </w:r>
    </w:p>
    <w:p w:rsidR="003A36BE" w:rsidRPr="00C27016"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C27016">
        <w:rPr>
          <w:rFonts w:ascii="Times New Roman" w:hAnsi="Times New Roman" w:cs="Times New Roman"/>
          <w:sz w:val="24"/>
          <w:szCs w:val="24"/>
        </w:rPr>
        <w:t xml:space="preserve">Banco Interamericano de Desarrollo (1998), América Latina frente a la desigualdad, BID, Washington D.C. </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C27016">
        <w:rPr>
          <w:rFonts w:ascii="Times New Roman" w:hAnsi="Times New Roman" w:cs="Times New Roman"/>
          <w:sz w:val="24"/>
          <w:szCs w:val="24"/>
        </w:rPr>
        <w:t xml:space="preserve">Banco Mundial (1996), Prioridades y estrategias para la educación, Washington D.C. </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C53B5D">
        <w:rPr>
          <w:rFonts w:ascii="Times New Roman" w:hAnsi="Times New Roman" w:cs="Times New Roman"/>
          <w:sz w:val="24"/>
          <w:szCs w:val="24"/>
        </w:rPr>
        <w:t>Beccaria</w:t>
      </w:r>
      <w:proofErr w:type="spellEnd"/>
      <w:r w:rsidRPr="00C53B5D">
        <w:rPr>
          <w:rFonts w:ascii="Times New Roman" w:hAnsi="Times New Roman" w:cs="Times New Roman"/>
          <w:sz w:val="24"/>
          <w:szCs w:val="24"/>
        </w:rPr>
        <w:t xml:space="preserve">, L. y </w:t>
      </w:r>
      <w:proofErr w:type="spellStart"/>
      <w:r w:rsidRPr="00C53B5D">
        <w:rPr>
          <w:rFonts w:ascii="Times New Roman" w:hAnsi="Times New Roman" w:cs="Times New Roman"/>
          <w:sz w:val="24"/>
          <w:szCs w:val="24"/>
        </w:rPr>
        <w:t>Maurizio</w:t>
      </w:r>
      <w:proofErr w:type="spellEnd"/>
      <w:r w:rsidRPr="00C53B5D">
        <w:rPr>
          <w:rFonts w:ascii="Times New Roman" w:hAnsi="Times New Roman" w:cs="Times New Roman"/>
          <w:sz w:val="24"/>
          <w:szCs w:val="24"/>
        </w:rPr>
        <w:t>, R. (2005), Mercado de trabajo y equidad en Argenti</w:t>
      </w:r>
      <w:r w:rsidR="00E07239">
        <w:rPr>
          <w:rFonts w:ascii="Times New Roman" w:hAnsi="Times New Roman" w:cs="Times New Roman"/>
          <w:sz w:val="24"/>
          <w:szCs w:val="24"/>
        </w:rPr>
        <w:t xml:space="preserve">na. Bs. As. Argentina: Prometeo. </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7742D0">
        <w:rPr>
          <w:rFonts w:ascii="Times New Roman" w:hAnsi="Times New Roman" w:cs="Times New Roman"/>
          <w:sz w:val="24"/>
          <w:szCs w:val="24"/>
        </w:rPr>
        <w:t>Beccaria</w:t>
      </w:r>
      <w:proofErr w:type="spellEnd"/>
      <w:r w:rsidRPr="007742D0">
        <w:rPr>
          <w:rFonts w:ascii="Times New Roman" w:hAnsi="Times New Roman" w:cs="Times New Roman"/>
          <w:sz w:val="24"/>
          <w:szCs w:val="24"/>
        </w:rPr>
        <w:t xml:space="preserve">, </w:t>
      </w:r>
      <w:r>
        <w:rPr>
          <w:rFonts w:ascii="Times New Roman" w:hAnsi="Times New Roman" w:cs="Times New Roman"/>
          <w:sz w:val="24"/>
          <w:szCs w:val="24"/>
        </w:rPr>
        <w:t xml:space="preserve">L </w:t>
      </w:r>
      <w:r w:rsidR="00E07239">
        <w:rPr>
          <w:rFonts w:ascii="Times New Roman" w:hAnsi="Times New Roman" w:cs="Times New Roman"/>
          <w:sz w:val="24"/>
          <w:szCs w:val="24"/>
        </w:rPr>
        <w:t xml:space="preserve">(2005) </w:t>
      </w:r>
      <w:r w:rsidRPr="007742D0">
        <w:rPr>
          <w:rFonts w:ascii="Times New Roman" w:hAnsi="Times New Roman" w:cs="Times New Roman"/>
          <w:sz w:val="24"/>
          <w:szCs w:val="24"/>
        </w:rPr>
        <w:t>J</w:t>
      </w:r>
      <w:r w:rsidR="00E07239">
        <w:rPr>
          <w:rFonts w:ascii="Times New Roman" w:hAnsi="Times New Roman" w:cs="Times New Roman"/>
          <w:sz w:val="24"/>
          <w:szCs w:val="24"/>
        </w:rPr>
        <w:t>óvenes y empleo en la Argentina</w:t>
      </w:r>
      <w:r w:rsidRPr="007742D0">
        <w:rPr>
          <w:rFonts w:ascii="Times New Roman" w:hAnsi="Times New Roman" w:cs="Times New Roman"/>
          <w:sz w:val="24"/>
          <w:szCs w:val="24"/>
        </w:rPr>
        <w:t xml:space="preserve">, en </w:t>
      </w:r>
      <w:r w:rsidRPr="00E07239">
        <w:rPr>
          <w:rFonts w:ascii="Times New Roman" w:hAnsi="Times New Roman" w:cs="Times New Roman"/>
          <w:i/>
          <w:sz w:val="24"/>
          <w:szCs w:val="24"/>
        </w:rPr>
        <w:t>Anales de la Educación común</w:t>
      </w:r>
      <w:r w:rsidRPr="007742D0">
        <w:rPr>
          <w:rFonts w:ascii="Times New Roman" w:hAnsi="Times New Roman" w:cs="Times New Roman"/>
          <w:sz w:val="24"/>
          <w:szCs w:val="24"/>
        </w:rPr>
        <w:t xml:space="preserve">, Dirección General de Cultura y Educación de la Provincia de Buenos Aires, Año 1, </w:t>
      </w:r>
      <w:proofErr w:type="spellStart"/>
      <w:r w:rsidRPr="007742D0">
        <w:rPr>
          <w:rFonts w:ascii="Times New Roman" w:hAnsi="Times New Roman" w:cs="Times New Roman"/>
          <w:sz w:val="24"/>
          <w:szCs w:val="24"/>
        </w:rPr>
        <w:t>Nros</w:t>
      </w:r>
      <w:proofErr w:type="spellEnd"/>
      <w:r w:rsidRPr="007742D0">
        <w:rPr>
          <w:rFonts w:ascii="Times New Roman" w:hAnsi="Times New Roman" w:cs="Times New Roman"/>
          <w:sz w:val="24"/>
          <w:szCs w:val="24"/>
        </w:rPr>
        <w:t>. 1-2, septiembre, 2005.</w:t>
      </w:r>
    </w:p>
    <w:p w:rsidR="003A36BE" w:rsidRPr="00B015BC"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B015BC">
        <w:rPr>
          <w:rFonts w:ascii="Times New Roman" w:hAnsi="Times New Roman" w:cs="Times New Roman"/>
          <w:sz w:val="24"/>
          <w:szCs w:val="24"/>
        </w:rPr>
        <w:t>Beccaria</w:t>
      </w:r>
      <w:proofErr w:type="spellEnd"/>
      <w:r w:rsidRPr="00B015BC">
        <w:rPr>
          <w:rFonts w:ascii="Times New Roman" w:hAnsi="Times New Roman" w:cs="Times New Roman"/>
          <w:sz w:val="24"/>
          <w:szCs w:val="24"/>
        </w:rPr>
        <w:t>, A</w:t>
      </w:r>
      <w:proofErr w:type="gramStart"/>
      <w:r w:rsidRPr="00B015BC">
        <w:rPr>
          <w:rFonts w:ascii="Times New Roman" w:hAnsi="Times New Roman" w:cs="Times New Roman"/>
          <w:sz w:val="24"/>
          <w:szCs w:val="24"/>
        </w:rPr>
        <w:t>. …</w:t>
      </w:r>
      <w:proofErr w:type="gramEnd"/>
      <w:r w:rsidRPr="00B015BC">
        <w:rPr>
          <w:rFonts w:ascii="Times New Roman" w:hAnsi="Times New Roman" w:cs="Times New Roman"/>
          <w:sz w:val="24"/>
          <w:szCs w:val="24"/>
        </w:rPr>
        <w:t xml:space="preserve"> [</w:t>
      </w:r>
      <w:proofErr w:type="spellStart"/>
      <w:r w:rsidRPr="00B015BC">
        <w:rPr>
          <w:rFonts w:ascii="Times New Roman" w:hAnsi="Times New Roman" w:cs="Times New Roman"/>
          <w:sz w:val="24"/>
          <w:szCs w:val="24"/>
        </w:rPr>
        <w:t>et.al</w:t>
      </w:r>
      <w:proofErr w:type="spellEnd"/>
      <w:r w:rsidRPr="00B015BC">
        <w:rPr>
          <w:rFonts w:ascii="Times New Roman" w:hAnsi="Times New Roman" w:cs="Times New Roman"/>
          <w:sz w:val="24"/>
          <w:szCs w:val="24"/>
        </w:rPr>
        <w:t xml:space="preserve">.] (2011) Protecciones y desprotecciones: la seguridad social en la Argentina 1990-2010 coordinado por Claudia </w:t>
      </w:r>
      <w:proofErr w:type="spellStart"/>
      <w:r w:rsidRPr="00B015BC">
        <w:rPr>
          <w:rFonts w:ascii="Times New Roman" w:hAnsi="Times New Roman" w:cs="Times New Roman"/>
          <w:sz w:val="24"/>
          <w:szCs w:val="24"/>
        </w:rPr>
        <w:t>Danani</w:t>
      </w:r>
      <w:proofErr w:type="spellEnd"/>
      <w:r w:rsidRPr="00B015BC">
        <w:rPr>
          <w:rFonts w:ascii="Times New Roman" w:hAnsi="Times New Roman" w:cs="Times New Roman"/>
          <w:sz w:val="24"/>
          <w:szCs w:val="24"/>
        </w:rPr>
        <w:t xml:space="preserve"> y Susana </w:t>
      </w:r>
      <w:proofErr w:type="spellStart"/>
      <w:r w:rsidRPr="00B015BC">
        <w:rPr>
          <w:rFonts w:ascii="Times New Roman" w:hAnsi="Times New Roman" w:cs="Times New Roman"/>
          <w:sz w:val="24"/>
          <w:szCs w:val="24"/>
        </w:rPr>
        <w:t>Hi</w:t>
      </w:r>
      <w:r>
        <w:rPr>
          <w:rFonts w:ascii="Times New Roman" w:hAnsi="Times New Roman" w:cs="Times New Roman"/>
          <w:sz w:val="24"/>
          <w:szCs w:val="24"/>
        </w:rPr>
        <w:t>ntze</w:t>
      </w:r>
      <w:proofErr w:type="spellEnd"/>
      <w:r>
        <w:rPr>
          <w:rFonts w:ascii="Times New Roman" w:hAnsi="Times New Roman" w:cs="Times New Roman"/>
          <w:sz w:val="24"/>
          <w:szCs w:val="24"/>
        </w:rPr>
        <w:t>. - 1a ed. - Los Polvorines</w:t>
      </w:r>
      <w:r w:rsidRPr="00B015BC">
        <w:rPr>
          <w:rFonts w:ascii="Times New Roman" w:hAnsi="Times New Roman" w:cs="Times New Roman"/>
          <w:sz w:val="24"/>
          <w:szCs w:val="24"/>
        </w:rPr>
        <w:t>: Universidad Nacional de General Sarmiento.</w:t>
      </w:r>
    </w:p>
    <w:p w:rsidR="003A36BE" w:rsidRPr="0007300C"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07300C">
        <w:rPr>
          <w:rFonts w:ascii="Times New Roman" w:hAnsi="Times New Roman" w:cs="Times New Roman"/>
          <w:sz w:val="24"/>
          <w:szCs w:val="24"/>
        </w:rPr>
        <w:t xml:space="preserve">Becker Gary S. (1983), El capital humano. Un análisis teórico y empírico referido fundamentalmente a la educación, </w:t>
      </w:r>
      <w:r w:rsidR="00E07239">
        <w:rPr>
          <w:rFonts w:ascii="Times New Roman" w:hAnsi="Times New Roman" w:cs="Times New Roman"/>
          <w:sz w:val="24"/>
          <w:szCs w:val="24"/>
        </w:rPr>
        <w:t xml:space="preserve">Madrid: Alianza. </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C53B5D">
        <w:rPr>
          <w:rFonts w:ascii="Times New Roman" w:hAnsi="Times New Roman" w:cs="Times New Roman"/>
          <w:sz w:val="24"/>
          <w:szCs w:val="24"/>
        </w:rPr>
        <w:t>Benigni</w:t>
      </w:r>
      <w:proofErr w:type="spellEnd"/>
      <w:r w:rsidRPr="00C53B5D">
        <w:rPr>
          <w:rFonts w:ascii="Times New Roman" w:hAnsi="Times New Roman" w:cs="Times New Roman"/>
          <w:sz w:val="24"/>
          <w:szCs w:val="24"/>
        </w:rPr>
        <w:t xml:space="preserve">, M. y D. </w:t>
      </w:r>
      <w:proofErr w:type="spellStart"/>
      <w:r w:rsidRPr="00C53B5D">
        <w:rPr>
          <w:rFonts w:ascii="Times New Roman" w:hAnsi="Times New Roman" w:cs="Times New Roman"/>
          <w:sz w:val="24"/>
          <w:szCs w:val="24"/>
        </w:rPr>
        <w:t>Schteingart</w:t>
      </w:r>
      <w:proofErr w:type="spellEnd"/>
      <w:r w:rsidRPr="00C53B5D">
        <w:rPr>
          <w:rFonts w:ascii="Times New Roman" w:hAnsi="Times New Roman" w:cs="Times New Roman"/>
          <w:sz w:val="24"/>
          <w:szCs w:val="24"/>
        </w:rPr>
        <w:t xml:space="preserve"> (2011). Causas de la inserción laboral precaria de los jóvenes en Argentina (2003-2010). En Actas de Congreso 10° Congreso Nacional de Estudios del Trabajo, Buenos Aires, 3-5 de agosto de 2011.</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C27016">
        <w:rPr>
          <w:rFonts w:ascii="Times New Roman" w:hAnsi="Times New Roman" w:cs="Times New Roman"/>
          <w:sz w:val="24"/>
          <w:szCs w:val="24"/>
        </w:rPr>
        <w:t>Bertranou</w:t>
      </w:r>
      <w:proofErr w:type="spellEnd"/>
      <w:r w:rsidRPr="00C27016">
        <w:rPr>
          <w:rFonts w:ascii="Times New Roman" w:hAnsi="Times New Roman" w:cs="Times New Roman"/>
          <w:sz w:val="24"/>
          <w:szCs w:val="24"/>
        </w:rPr>
        <w:t>, F. y Casanova, L. (</w:t>
      </w:r>
      <w:proofErr w:type="spellStart"/>
      <w:r w:rsidRPr="00C27016">
        <w:rPr>
          <w:rFonts w:ascii="Times New Roman" w:hAnsi="Times New Roman" w:cs="Times New Roman"/>
          <w:sz w:val="24"/>
          <w:szCs w:val="24"/>
        </w:rPr>
        <w:t>coords</w:t>
      </w:r>
      <w:proofErr w:type="spellEnd"/>
      <w:r w:rsidRPr="00C27016">
        <w:rPr>
          <w:rFonts w:ascii="Times New Roman" w:hAnsi="Times New Roman" w:cs="Times New Roman"/>
          <w:sz w:val="24"/>
          <w:szCs w:val="24"/>
        </w:rPr>
        <w:t>.) (2015), Caminos hacia la formalización laboral</w:t>
      </w:r>
      <w:r w:rsidR="00E07239">
        <w:rPr>
          <w:rFonts w:ascii="Times New Roman" w:hAnsi="Times New Roman" w:cs="Times New Roman"/>
          <w:sz w:val="24"/>
          <w:szCs w:val="24"/>
        </w:rPr>
        <w:t>.</w:t>
      </w:r>
      <w:r>
        <w:rPr>
          <w:rFonts w:ascii="Times New Roman" w:hAnsi="Times New Roman" w:cs="Times New Roman"/>
          <w:sz w:val="24"/>
          <w:szCs w:val="24"/>
        </w:rPr>
        <w:t xml:space="preserve"> </w:t>
      </w:r>
      <w:r w:rsidR="00E07239">
        <w:rPr>
          <w:rFonts w:ascii="Times New Roman" w:hAnsi="Times New Roman" w:cs="Times New Roman"/>
          <w:sz w:val="24"/>
          <w:szCs w:val="24"/>
        </w:rPr>
        <w:t xml:space="preserve">Buenos Aires, Argentina: Oficina Internacional del Trabajo. </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C27016">
        <w:rPr>
          <w:rFonts w:ascii="Times New Roman" w:hAnsi="Times New Roman" w:cs="Times New Roman"/>
          <w:sz w:val="24"/>
          <w:szCs w:val="24"/>
        </w:rPr>
        <w:t>Bertranou</w:t>
      </w:r>
      <w:proofErr w:type="spellEnd"/>
      <w:r w:rsidRPr="00C27016">
        <w:rPr>
          <w:rFonts w:ascii="Times New Roman" w:hAnsi="Times New Roman" w:cs="Times New Roman"/>
          <w:sz w:val="24"/>
          <w:szCs w:val="24"/>
        </w:rPr>
        <w:t>, F., Casa</w:t>
      </w:r>
      <w:r w:rsidR="00E07239">
        <w:rPr>
          <w:rFonts w:ascii="Times New Roman" w:hAnsi="Times New Roman" w:cs="Times New Roman"/>
          <w:sz w:val="24"/>
          <w:szCs w:val="24"/>
        </w:rPr>
        <w:t xml:space="preserve">nova y L., Jiménez, M. (2013), </w:t>
      </w:r>
      <w:r w:rsidRPr="00C27016">
        <w:rPr>
          <w:rFonts w:ascii="Times New Roman" w:hAnsi="Times New Roman" w:cs="Times New Roman"/>
          <w:sz w:val="24"/>
          <w:szCs w:val="24"/>
        </w:rPr>
        <w:t>Informalidad, calidad del empleo y se</w:t>
      </w:r>
      <w:r w:rsidR="00E07239">
        <w:rPr>
          <w:rFonts w:ascii="Times New Roman" w:hAnsi="Times New Roman" w:cs="Times New Roman"/>
          <w:sz w:val="24"/>
          <w:szCs w:val="24"/>
        </w:rPr>
        <w:t>gmentación laboral en Argentina</w:t>
      </w:r>
      <w:r w:rsidRPr="00C27016">
        <w:rPr>
          <w:rFonts w:ascii="Times New Roman" w:hAnsi="Times New Roman" w:cs="Times New Roman"/>
          <w:sz w:val="24"/>
          <w:szCs w:val="24"/>
        </w:rPr>
        <w:t>, Documento de trabajo n° 2,</w:t>
      </w:r>
      <w:r>
        <w:rPr>
          <w:rFonts w:ascii="Times New Roman" w:hAnsi="Times New Roman" w:cs="Times New Roman"/>
          <w:sz w:val="24"/>
          <w:szCs w:val="24"/>
        </w:rPr>
        <w:t xml:space="preserve"> </w:t>
      </w:r>
      <w:r w:rsidRPr="00C27016">
        <w:rPr>
          <w:rFonts w:ascii="Times New Roman" w:hAnsi="Times New Roman" w:cs="Times New Roman"/>
          <w:sz w:val="24"/>
          <w:szCs w:val="24"/>
        </w:rPr>
        <w:t>Buenos Aires,</w:t>
      </w:r>
      <w:r w:rsidR="00E07239">
        <w:rPr>
          <w:rFonts w:ascii="Times New Roman" w:hAnsi="Times New Roman" w:cs="Times New Roman"/>
          <w:sz w:val="24"/>
          <w:szCs w:val="24"/>
        </w:rPr>
        <w:t xml:space="preserve"> Argentina:</w:t>
      </w:r>
      <w:r w:rsidRPr="00C27016">
        <w:rPr>
          <w:rFonts w:ascii="Times New Roman" w:hAnsi="Times New Roman" w:cs="Times New Roman"/>
          <w:sz w:val="24"/>
          <w:szCs w:val="24"/>
        </w:rPr>
        <w:t xml:space="preserve"> Oficina Internacional del Trabajo.</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2F3B01">
        <w:rPr>
          <w:rFonts w:ascii="Times New Roman" w:hAnsi="Times New Roman" w:cs="Times New Roman"/>
          <w:sz w:val="24"/>
          <w:szCs w:val="24"/>
        </w:rPr>
        <w:t>Bertranou</w:t>
      </w:r>
      <w:proofErr w:type="spellEnd"/>
      <w:r w:rsidRPr="002F3B01">
        <w:rPr>
          <w:rFonts w:ascii="Times New Roman" w:hAnsi="Times New Roman" w:cs="Times New Roman"/>
          <w:sz w:val="24"/>
          <w:szCs w:val="24"/>
        </w:rPr>
        <w:t>, F. y Paz, J. (2007). Políticas y programas de prote</w:t>
      </w:r>
      <w:r w:rsidR="00E07239">
        <w:rPr>
          <w:rFonts w:ascii="Times New Roman" w:hAnsi="Times New Roman" w:cs="Times New Roman"/>
          <w:sz w:val="24"/>
          <w:szCs w:val="24"/>
        </w:rPr>
        <w:t>cción al desempleo en Argentina.</w:t>
      </w:r>
      <w:r w:rsidRPr="002F3B01">
        <w:rPr>
          <w:rFonts w:ascii="Times New Roman" w:hAnsi="Times New Roman" w:cs="Times New Roman"/>
          <w:sz w:val="24"/>
          <w:szCs w:val="24"/>
        </w:rPr>
        <w:t xml:space="preserve"> Buenos Aires: OIT.</w:t>
      </w:r>
    </w:p>
    <w:p w:rsidR="00E07239" w:rsidRDefault="003A36BE" w:rsidP="00CA13EE">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E07239">
        <w:rPr>
          <w:rFonts w:ascii="Times New Roman" w:hAnsi="Times New Roman" w:cs="Times New Roman"/>
          <w:sz w:val="24"/>
          <w:szCs w:val="24"/>
        </w:rPr>
        <w:t>Bonfiglio</w:t>
      </w:r>
      <w:proofErr w:type="spellEnd"/>
      <w:r w:rsidRPr="00E07239">
        <w:rPr>
          <w:rFonts w:ascii="Times New Roman" w:hAnsi="Times New Roman" w:cs="Times New Roman"/>
          <w:sz w:val="24"/>
          <w:szCs w:val="24"/>
        </w:rPr>
        <w:t xml:space="preserve">, J; </w:t>
      </w:r>
      <w:proofErr w:type="spellStart"/>
      <w:r w:rsidRPr="00E07239">
        <w:rPr>
          <w:rFonts w:ascii="Times New Roman" w:hAnsi="Times New Roman" w:cs="Times New Roman"/>
          <w:sz w:val="24"/>
          <w:szCs w:val="24"/>
        </w:rPr>
        <w:t>Tin</w:t>
      </w:r>
      <w:r w:rsidR="00E07239" w:rsidRPr="00E07239">
        <w:rPr>
          <w:rFonts w:ascii="Times New Roman" w:hAnsi="Times New Roman" w:cs="Times New Roman"/>
          <w:sz w:val="24"/>
          <w:szCs w:val="24"/>
        </w:rPr>
        <w:t>oboras</w:t>
      </w:r>
      <w:proofErr w:type="spellEnd"/>
      <w:r w:rsidR="00E07239" w:rsidRPr="00E07239">
        <w:rPr>
          <w:rFonts w:ascii="Times New Roman" w:hAnsi="Times New Roman" w:cs="Times New Roman"/>
          <w:sz w:val="24"/>
          <w:szCs w:val="24"/>
        </w:rPr>
        <w:t xml:space="preserve">, C; van </w:t>
      </w:r>
      <w:proofErr w:type="spellStart"/>
      <w:r w:rsidR="00E07239" w:rsidRPr="00E07239">
        <w:rPr>
          <w:rFonts w:ascii="Times New Roman" w:hAnsi="Times New Roman" w:cs="Times New Roman"/>
          <w:sz w:val="24"/>
          <w:szCs w:val="24"/>
        </w:rPr>
        <w:t>Raap</w:t>
      </w:r>
      <w:proofErr w:type="spellEnd"/>
      <w:r w:rsidR="00E07239" w:rsidRPr="00E07239">
        <w:rPr>
          <w:rFonts w:ascii="Times New Roman" w:hAnsi="Times New Roman" w:cs="Times New Roman"/>
          <w:sz w:val="24"/>
          <w:szCs w:val="24"/>
        </w:rPr>
        <w:t xml:space="preserve">, V (2007): </w:t>
      </w:r>
      <w:r w:rsidRPr="00E07239">
        <w:rPr>
          <w:rFonts w:ascii="Times New Roman" w:hAnsi="Times New Roman" w:cs="Times New Roman"/>
          <w:sz w:val="24"/>
          <w:szCs w:val="24"/>
        </w:rPr>
        <w:t>Una cuestión de oportunidades: los jóvenes frente a la educación y el mundo del trabajo</w:t>
      </w:r>
      <w:r w:rsidR="00E07239" w:rsidRPr="00E07239">
        <w:rPr>
          <w:rFonts w:ascii="Times New Roman" w:hAnsi="Times New Roman" w:cs="Times New Roman"/>
          <w:sz w:val="24"/>
          <w:szCs w:val="24"/>
        </w:rPr>
        <w:t>. P</w:t>
      </w:r>
      <w:r w:rsidRPr="00E07239">
        <w:rPr>
          <w:rFonts w:ascii="Times New Roman" w:hAnsi="Times New Roman" w:cs="Times New Roman"/>
          <w:sz w:val="24"/>
          <w:szCs w:val="24"/>
        </w:rPr>
        <w:t xml:space="preserve">resentado en las </w:t>
      </w:r>
      <w:r w:rsidRPr="00E07239">
        <w:rPr>
          <w:rFonts w:ascii="Times New Roman" w:hAnsi="Times New Roman" w:cs="Times New Roman"/>
          <w:i/>
          <w:sz w:val="24"/>
          <w:szCs w:val="24"/>
        </w:rPr>
        <w:t xml:space="preserve">VII Jornadas </w:t>
      </w:r>
      <w:r w:rsidR="00E07239" w:rsidRPr="00E07239">
        <w:rPr>
          <w:rFonts w:ascii="Times New Roman" w:hAnsi="Times New Roman" w:cs="Times New Roman"/>
          <w:i/>
          <w:sz w:val="24"/>
          <w:szCs w:val="24"/>
        </w:rPr>
        <w:t>de Sociología de la UBA</w:t>
      </w:r>
      <w:r w:rsidRPr="00E07239">
        <w:rPr>
          <w:rFonts w:ascii="Times New Roman" w:hAnsi="Times New Roman" w:cs="Times New Roman"/>
          <w:i/>
          <w:sz w:val="24"/>
          <w:szCs w:val="24"/>
        </w:rPr>
        <w:t xml:space="preserve"> Pasado, pre</w:t>
      </w:r>
      <w:r w:rsidR="00E07239" w:rsidRPr="00E07239">
        <w:rPr>
          <w:rFonts w:ascii="Times New Roman" w:hAnsi="Times New Roman" w:cs="Times New Roman"/>
          <w:i/>
          <w:sz w:val="24"/>
          <w:szCs w:val="24"/>
        </w:rPr>
        <w:t>sente y futuro de la sociología</w:t>
      </w:r>
      <w:r w:rsidRPr="00E07239">
        <w:rPr>
          <w:rFonts w:ascii="Times New Roman" w:hAnsi="Times New Roman" w:cs="Times New Roman"/>
          <w:sz w:val="24"/>
          <w:szCs w:val="24"/>
        </w:rPr>
        <w:t xml:space="preserve">. Buenos Aires, 5 al 9 de noviembre de 2007. </w:t>
      </w:r>
    </w:p>
    <w:p w:rsidR="003A36BE" w:rsidRPr="00E07239" w:rsidRDefault="003A36BE" w:rsidP="00CA13EE">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E07239">
        <w:rPr>
          <w:rFonts w:ascii="Times New Roman" w:hAnsi="Times New Roman" w:cs="Times New Roman"/>
          <w:sz w:val="24"/>
          <w:szCs w:val="24"/>
        </w:rPr>
        <w:t>Bonfiglio</w:t>
      </w:r>
      <w:proofErr w:type="spellEnd"/>
      <w:r w:rsidRPr="00E07239">
        <w:rPr>
          <w:rFonts w:ascii="Times New Roman" w:hAnsi="Times New Roman" w:cs="Times New Roman"/>
          <w:sz w:val="24"/>
          <w:szCs w:val="24"/>
        </w:rPr>
        <w:t xml:space="preserve">, J., Salvia, A., </w:t>
      </w:r>
      <w:proofErr w:type="spellStart"/>
      <w:r w:rsidRPr="00E07239">
        <w:rPr>
          <w:rFonts w:ascii="Times New Roman" w:hAnsi="Times New Roman" w:cs="Times New Roman"/>
          <w:sz w:val="24"/>
          <w:szCs w:val="24"/>
        </w:rPr>
        <w:t>Tinoboras</w:t>
      </w:r>
      <w:proofErr w:type="spellEnd"/>
      <w:r w:rsidRPr="00E07239">
        <w:rPr>
          <w:rFonts w:ascii="Times New Roman" w:hAnsi="Times New Roman" w:cs="Times New Roman"/>
          <w:sz w:val="24"/>
          <w:szCs w:val="24"/>
        </w:rPr>
        <w:t xml:space="preserve">, C. &amp; Van </w:t>
      </w:r>
      <w:proofErr w:type="spellStart"/>
      <w:r w:rsidRPr="00E07239">
        <w:rPr>
          <w:rFonts w:ascii="Times New Roman" w:hAnsi="Times New Roman" w:cs="Times New Roman"/>
          <w:sz w:val="24"/>
          <w:szCs w:val="24"/>
        </w:rPr>
        <w:t>Raap</w:t>
      </w:r>
      <w:proofErr w:type="spellEnd"/>
      <w:r w:rsidRPr="00E07239">
        <w:rPr>
          <w:rFonts w:ascii="Times New Roman" w:hAnsi="Times New Roman" w:cs="Times New Roman"/>
          <w:sz w:val="24"/>
          <w:szCs w:val="24"/>
        </w:rPr>
        <w:t xml:space="preserve">, V. (2008). Educación y trabajo. Un estudio sobre las oportunidades de inclusión de los jóvenes tras cuatro años de recuperación económica. En </w:t>
      </w:r>
      <w:r w:rsidRPr="003E3AC7">
        <w:rPr>
          <w:rFonts w:ascii="Times New Roman" w:hAnsi="Times New Roman" w:cs="Times New Roman"/>
          <w:i/>
          <w:sz w:val="24"/>
          <w:szCs w:val="24"/>
        </w:rPr>
        <w:t xml:space="preserve">Jóvenes promesas. Trabajo, educación y exclusión social de jóvenes pobres en la Argentina, </w:t>
      </w:r>
      <w:r w:rsidR="003E3AC7" w:rsidRPr="00E07239">
        <w:rPr>
          <w:rFonts w:ascii="Times New Roman" w:hAnsi="Times New Roman" w:cs="Times New Roman"/>
          <w:sz w:val="24"/>
          <w:szCs w:val="24"/>
        </w:rPr>
        <w:t>A. Salvia (</w:t>
      </w:r>
      <w:proofErr w:type="spellStart"/>
      <w:r w:rsidR="003E3AC7" w:rsidRPr="00E07239">
        <w:rPr>
          <w:rFonts w:ascii="Times New Roman" w:hAnsi="Times New Roman" w:cs="Times New Roman"/>
          <w:sz w:val="24"/>
          <w:szCs w:val="24"/>
        </w:rPr>
        <w:t>comp.</w:t>
      </w:r>
      <w:proofErr w:type="spellEnd"/>
      <w:r w:rsidR="003E3AC7" w:rsidRPr="00E07239">
        <w:rPr>
          <w:rFonts w:ascii="Times New Roman" w:hAnsi="Times New Roman" w:cs="Times New Roman"/>
          <w:sz w:val="24"/>
          <w:szCs w:val="24"/>
        </w:rPr>
        <w:t xml:space="preserve">) </w:t>
      </w:r>
      <w:r w:rsidRPr="00E07239">
        <w:rPr>
          <w:rFonts w:ascii="Times New Roman" w:hAnsi="Times New Roman" w:cs="Times New Roman"/>
          <w:sz w:val="24"/>
          <w:szCs w:val="24"/>
        </w:rPr>
        <w:t>(pp. 35-62). Buenos Aires: Miño y Dávila.</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C53B5D">
        <w:rPr>
          <w:rFonts w:ascii="Times New Roman" w:hAnsi="Times New Roman" w:cs="Times New Roman"/>
          <w:sz w:val="24"/>
          <w:szCs w:val="24"/>
        </w:rPr>
        <w:t>Busso</w:t>
      </w:r>
      <w:proofErr w:type="spellEnd"/>
      <w:r w:rsidRPr="00C53B5D">
        <w:rPr>
          <w:rFonts w:ascii="Times New Roman" w:hAnsi="Times New Roman" w:cs="Times New Roman"/>
          <w:sz w:val="24"/>
          <w:szCs w:val="24"/>
        </w:rPr>
        <w:t xml:space="preserve"> M., </w:t>
      </w:r>
      <w:proofErr w:type="spellStart"/>
      <w:r w:rsidRPr="00C53B5D">
        <w:rPr>
          <w:rFonts w:ascii="Times New Roman" w:hAnsi="Times New Roman" w:cs="Times New Roman"/>
          <w:sz w:val="24"/>
          <w:szCs w:val="24"/>
        </w:rPr>
        <w:t>Perez</w:t>
      </w:r>
      <w:proofErr w:type="spellEnd"/>
      <w:r w:rsidRPr="00C53B5D">
        <w:rPr>
          <w:rFonts w:ascii="Times New Roman" w:hAnsi="Times New Roman" w:cs="Times New Roman"/>
          <w:sz w:val="24"/>
          <w:szCs w:val="24"/>
        </w:rPr>
        <w:t>, P</w:t>
      </w:r>
      <w:proofErr w:type="gramStart"/>
      <w:r w:rsidRPr="00C53B5D">
        <w:rPr>
          <w:rFonts w:ascii="Times New Roman" w:hAnsi="Times New Roman" w:cs="Times New Roman"/>
          <w:sz w:val="24"/>
          <w:szCs w:val="24"/>
        </w:rPr>
        <w:t>. ,</w:t>
      </w:r>
      <w:proofErr w:type="gramEnd"/>
      <w:r w:rsidRPr="00C53B5D">
        <w:rPr>
          <w:rFonts w:ascii="Times New Roman" w:hAnsi="Times New Roman" w:cs="Times New Roman"/>
          <w:sz w:val="24"/>
          <w:szCs w:val="24"/>
        </w:rPr>
        <w:t xml:space="preserve"> (2010). La corrosión del trabajo. Estudios sobre informalidad y precariedad laboral, </w:t>
      </w:r>
      <w:r w:rsidR="003E3AC7">
        <w:rPr>
          <w:rFonts w:ascii="Times New Roman" w:hAnsi="Times New Roman" w:cs="Times New Roman"/>
          <w:sz w:val="24"/>
          <w:szCs w:val="24"/>
        </w:rPr>
        <w:t>(</w:t>
      </w:r>
      <w:r w:rsidR="003E3AC7" w:rsidRPr="00C53B5D">
        <w:rPr>
          <w:rFonts w:ascii="Times New Roman" w:hAnsi="Times New Roman" w:cs="Times New Roman"/>
          <w:sz w:val="24"/>
          <w:szCs w:val="24"/>
        </w:rPr>
        <w:t>p.232</w:t>
      </w:r>
      <w:r w:rsidR="003E3AC7">
        <w:rPr>
          <w:rFonts w:ascii="Times New Roman" w:hAnsi="Times New Roman" w:cs="Times New Roman"/>
          <w:sz w:val="24"/>
          <w:szCs w:val="24"/>
        </w:rPr>
        <w:t xml:space="preserve">) Buenos Aires, Argentina: </w:t>
      </w:r>
      <w:r w:rsidRPr="00C53B5D">
        <w:rPr>
          <w:rFonts w:ascii="Times New Roman" w:hAnsi="Times New Roman" w:cs="Times New Roman"/>
          <w:sz w:val="24"/>
          <w:szCs w:val="24"/>
        </w:rPr>
        <w:t xml:space="preserve">Miño y </w:t>
      </w:r>
      <w:proofErr w:type="spellStart"/>
      <w:r w:rsidRPr="00C53B5D">
        <w:rPr>
          <w:rFonts w:ascii="Times New Roman" w:hAnsi="Times New Roman" w:cs="Times New Roman"/>
          <w:sz w:val="24"/>
          <w:szCs w:val="24"/>
        </w:rPr>
        <w:t>Davila</w:t>
      </w:r>
      <w:proofErr w:type="spellEnd"/>
      <w:r w:rsidRPr="00C53B5D">
        <w:rPr>
          <w:rFonts w:ascii="Times New Roman" w:hAnsi="Times New Roman" w:cs="Times New Roman"/>
          <w:sz w:val="24"/>
          <w:szCs w:val="24"/>
        </w:rPr>
        <w:t xml:space="preserve"> Editores/</w:t>
      </w:r>
      <w:proofErr w:type="spellStart"/>
      <w:r w:rsidRPr="00C53B5D">
        <w:rPr>
          <w:rFonts w:ascii="Times New Roman" w:hAnsi="Times New Roman" w:cs="Times New Roman"/>
          <w:sz w:val="24"/>
          <w:szCs w:val="24"/>
        </w:rPr>
        <w:t>Ceil-Piette</w:t>
      </w:r>
      <w:proofErr w:type="spellEnd"/>
      <w:r w:rsidRPr="00C53B5D">
        <w:rPr>
          <w:rFonts w:ascii="Times New Roman" w:hAnsi="Times New Roman" w:cs="Times New Roman"/>
          <w:sz w:val="24"/>
          <w:szCs w:val="24"/>
        </w:rPr>
        <w:t xml:space="preserve"> CONICET</w:t>
      </w:r>
      <w:r w:rsidR="003E3AC7">
        <w:rPr>
          <w:rFonts w:ascii="Times New Roman" w:hAnsi="Times New Roman" w:cs="Times New Roman"/>
          <w:sz w:val="24"/>
          <w:szCs w:val="24"/>
        </w:rPr>
        <w:t>.</w:t>
      </w:r>
      <w:r w:rsidRPr="00C53B5D">
        <w:rPr>
          <w:rFonts w:ascii="Times New Roman" w:hAnsi="Times New Roman" w:cs="Times New Roman"/>
          <w:sz w:val="24"/>
          <w:szCs w:val="24"/>
        </w:rPr>
        <w:t xml:space="preserve"> </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CEPAL (1997),</w:t>
      </w:r>
      <w:r w:rsidRPr="00C53B5D">
        <w:rPr>
          <w:rFonts w:ascii="Times New Roman" w:hAnsi="Times New Roman" w:cs="Times New Roman"/>
          <w:sz w:val="24"/>
          <w:szCs w:val="24"/>
        </w:rPr>
        <w:t xml:space="preserve"> Transmisión intergeneracional de</w:t>
      </w:r>
      <w:r w:rsidR="003E3AC7">
        <w:rPr>
          <w:rFonts w:ascii="Times New Roman" w:hAnsi="Times New Roman" w:cs="Times New Roman"/>
          <w:sz w:val="24"/>
          <w:szCs w:val="24"/>
        </w:rPr>
        <w:t xml:space="preserve"> las oportunidades de bienestar</w:t>
      </w:r>
      <w:r w:rsidRPr="00C53B5D">
        <w:rPr>
          <w:rFonts w:ascii="Times New Roman" w:hAnsi="Times New Roman" w:cs="Times New Roman"/>
          <w:sz w:val="24"/>
          <w:szCs w:val="24"/>
        </w:rPr>
        <w:t xml:space="preserve">, en </w:t>
      </w:r>
      <w:r w:rsidRPr="003E3AC7">
        <w:rPr>
          <w:rFonts w:ascii="Times New Roman" w:hAnsi="Times New Roman" w:cs="Times New Roman"/>
          <w:i/>
          <w:sz w:val="24"/>
          <w:szCs w:val="24"/>
        </w:rPr>
        <w:t>Panorama Social de América Latina</w:t>
      </w:r>
      <w:r w:rsidR="003E3AC7">
        <w:rPr>
          <w:rFonts w:ascii="Times New Roman" w:hAnsi="Times New Roman" w:cs="Times New Roman"/>
          <w:sz w:val="24"/>
          <w:szCs w:val="24"/>
        </w:rPr>
        <w:t>. Santiago de Chile: CEPAL</w:t>
      </w:r>
      <w:r w:rsidRPr="00C53B5D">
        <w:rPr>
          <w:rFonts w:ascii="Times New Roman" w:hAnsi="Times New Roman" w:cs="Times New Roman"/>
          <w:sz w:val="24"/>
          <w:szCs w:val="24"/>
        </w:rPr>
        <w:t xml:space="preserve">. </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CEPAL (1998),</w:t>
      </w:r>
      <w:r w:rsidRPr="00C53B5D">
        <w:rPr>
          <w:rFonts w:ascii="Times New Roman" w:hAnsi="Times New Roman" w:cs="Times New Roman"/>
          <w:sz w:val="24"/>
          <w:szCs w:val="24"/>
        </w:rPr>
        <w:t xml:space="preserve"> Incorporación de los jóvenes al mercado laboral: heterogeneidad y desequilibrios, en </w:t>
      </w:r>
      <w:r w:rsidRPr="003E3AC7">
        <w:rPr>
          <w:rFonts w:ascii="Times New Roman" w:hAnsi="Times New Roman" w:cs="Times New Roman"/>
          <w:i/>
          <w:sz w:val="24"/>
          <w:szCs w:val="24"/>
        </w:rPr>
        <w:t>Pa</w:t>
      </w:r>
      <w:r w:rsidR="003E3AC7" w:rsidRPr="003E3AC7">
        <w:rPr>
          <w:rFonts w:ascii="Times New Roman" w:hAnsi="Times New Roman" w:cs="Times New Roman"/>
          <w:i/>
          <w:sz w:val="24"/>
          <w:szCs w:val="24"/>
        </w:rPr>
        <w:t>norama Social de América Latina</w:t>
      </w:r>
      <w:r w:rsidR="003E3AC7">
        <w:rPr>
          <w:rFonts w:ascii="Times New Roman" w:hAnsi="Times New Roman" w:cs="Times New Roman"/>
          <w:sz w:val="24"/>
          <w:szCs w:val="24"/>
        </w:rPr>
        <w:t xml:space="preserve">. Santiago de Chile: CEPAL. </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CEPAL </w:t>
      </w:r>
      <w:r w:rsidRPr="00C53B5D">
        <w:rPr>
          <w:rFonts w:ascii="Times New Roman" w:hAnsi="Times New Roman" w:cs="Times New Roman"/>
          <w:sz w:val="24"/>
          <w:szCs w:val="24"/>
        </w:rPr>
        <w:t>(2010), La hora de la igualdad: brechas por cerrar, caminos</w:t>
      </w:r>
      <w:r w:rsidR="003E3AC7">
        <w:rPr>
          <w:rFonts w:ascii="Times New Roman" w:hAnsi="Times New Roman" w:cs="Times New Roman"/>
          <w:sz w:val="24"/>
          <w:szCs w:val="24"/>
        </w:rPr>
        <w:t xml:space="preserve"> por abrir</w:t>
      </w:r>
      <w:r w:rsidRPr="00C53B5D">
        <w:rPr>
          <w:rFonts w:ascii="Times New Roman" w:hAnsi="Times New Roman" w:cs="Times New Roman"/>
          <w:sz w:val="24"/>
          <w:szCs w:val="24"/>
        </w:rPr>
        <w:t>, Santiago de Chile, mayo.</w:t>
      </w:r>
    </w:p>
    <w:p w:rsidR="003A36BE" w:rsidRPr="003E3AC7"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i/>
          <w:sz w:val="24"/>
          <w:szCs w:val="24"/>
        </w:rPr>
      </w:pPr>
      <w:r>
        <w:rPr>
          <w:rFonts w:ascii="Times New Roman" w:hAnsi="Times New Roman" w:cs="Times New Roman"/>
          <w:sz w:val="24"/>
          <w:szCs w:val="24"/>
        </w:rPr>
        <w:t>CEPAL (2015</w:t>
      </w:r>
      <w:r w:rsidRPr="00C53B5D">
        <w:rPr>
          <w:rFonts w:ascii="Times New Roman" w:hAnsi="Times New Roman" w:cs="Times New Roman"/>
          <w:sz w:val="24"/>
          <w:szCs w:val="24"/>
        </w:rPr>
        <w:t>),</w:t>
      </w:r>
      <w:r w:rsidR="003E3AC7">
        <w:rPr>
          <w:rFonts w:ascii="Times New Roman" w:hAnsi="Times New Roman" w:cs="Times New Roman"/>
          <w:sz w:val="24"/>
          <w:szCs w:val="24"/>
        </w:rPr>
        <w:t xml:space="preserve"> </w:t>
      </w:r>
      <w:r w:rsidRPr="00E94C37">
        <w:rPr>
          <w:rFonts w:ascii="Times New Roman" w:hAnsi="Times New Roman" w:cs="Times New Roman"/>
          <w:sz w:val="24"/>
          <w:szCs w:val="24"/>
        </w:rPr>
        <w:t>¿Estudias o trabajas? El largo</w:t>
      </w:r>
      <w:r>
        <w:rPr>
          <w:rFonts w:ascii="Times New Roman" w:hAnsi="Times New Roman" w:cs="Times New Roman"/>
          <w:sz w:val="24"/>
          <w:szCs w:val="24"/>
        </w:rPr>
        <w:t xml:space="preserve"> </w:t>
      </w:r>
      <w:r w:rsidRPr="00E94C37">
        <w:rPr>
          <w:rFonts w:ascii="Times New Roman" w:hAnsi="Times New Roman" w:cs="Times New Roman"/>
          <w:sz w:val="24"/>
          <w:szCs w:val="24"/>
        </w:rPr>
        <w:t>camino hacia la independencia</w:t>
      </w:r>
      <w:r>
        <w:rPr>
          <w:rFonts w:ascii="Times New Roman" w:hAnsi="Times New Roman" w:cs="Times New Roman"/>
          <w:sz w:val="24"/>
          <w:szCs w:val="24"/>
        </w:rPr>
        <w:t xml:space="preserve"> </w:t>
      </w:r>
      <w:r w:rsidRPr="00E94C37">
        <w:rPr>
          <w:rFonts w:ascii="Times New Roman" w:hAnsi="Times New Roman" w:cs="Times New Roman"/>
          <w:sz w:val="24"/>
          <w:szCs w:val="24"/>
        </w:rPr>
        <w:t>económica de los jóvenes de América Latina</w:t>
      </w:r>
      <w:r>
        <w:rPr>
          <w:rFonts w:ascii="Times New Roman" w:hAnsi="Times New Roman" w:cs="Times New Roman"/>
          <w:sz w:val="24"/>
          <w:szCs w:val="24"/>
        </w:rPr>
        <w:t>.</w:t>
      </w:r>
      <w:r w:rsidR="003E3AC7">
        <w:rPr>
          <w:rFonts w:ascii="Times New Roman" w:hAnsi="Times New Roman" w:cs="Times New Roman"/>
          <w:sz w:val="24"/>
          <w:szCs w:val="24"/>
        </w:rPr>
        <w:t xml:space="preserve"> En</w:t>
      </w:r>
      <w:r>
        <w:rPr>
          <w:rFonts w:ascii="Times New Roman" w:hAnsi="Times New Roman" w:cs="Times New Roman"/>
          <w:sz w:val="24"/>
          <w:szCs w:val="24"/>
        </w:rPr>
        <w:t xml:space="preserve"> </w:t>
      </w:r>
      <w:r w:rsidRPr="003E3AC7">
        <w:rPr>
          <w:rFonts w:ascii="Times New Roman" w:hAnsi="Times New Roman" w:cs="Times New Roman"/>
          <w:i/>
          <w:sz w:val="24"/>
          <w:szCs w:val="24"/>
        </w:rPr>
        <w:t xml:space="preserve">Serie Macroeconomía del Desarrollo nº 169. </w:t>
      </w:r>
    </w:p>
    <w:p w:rsidR="003A36BE" w:rsidRPr="003E3AC7" w:rsidRDefault="003A36BE" w:rsidP="003E3AC7">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822870">
        <w:rPr>
          <w:rFonts w:ascii="Times New Roman" w:hAnsi="Times New Roman" w:cs="Times New Roman"/>
          <w:sz w:val="24"/>
          <w:szCs w:val="24"/>
        </w:rPr>
        <w:t>Cetrángolo</w:t>
      </w:r>
      <w:proofErr w:type="spellEnd"/>
      <w:r w:rsidRPr="00822870">
        <w:rPr>
          <w:rFonts w:ascii="Times New Roman" w:hAnsi="Times New Roman" w:cs="Times New Roman"/>
          <w:sz w:val="24"/>
          <w:szCs w:val="24"/>
        </w:rPr>
        <w:t xml:space="preserve">, O.; </w:t>
      </w:r>
      <w:proofErr w:type="spellStart"/>
      <w:r w:rsidRPr="00822870">
        <w:rPr>
          <w:rFonts w:ascii="Times New Roman" w:hAnsi="Times New Roman" w:cs="Times New Roman"/>
          <w:sz w:val="24"/>
          <w:szCs w:val="24"/>
        </w:rPr>
        <w:t>Goldschmit</w:t>
      </w:r>
      <w:proofErr w:type="spellEnd"/>
      <w:r w:rsidRPr="00822870">
        <w:rPr>
          <w:rFonts w:ascii="Times New Roman" w:hAnsi="Times New Roman" w:cs="Times New Roman"/>
          <w:sz w:val="24"/>
          <w:szCs w:val="24"/>
        </w:rPr>
        <w:t xml:space="preserve">, A., </w:t>
      </w:r>
      <w:proofErr w:type="spellStart"/>
      <w:r w:rsidRPr="00822870">
        <w:rPr>
          <w:rFonts w:ascii="Times New Roman" w:hAnsi="Times New Roman" w:cs="Times New Roman"/>
          <w:sz w:val="24"/>
          <w:szCs w:val="24"/>
        </w:rPr>
        <w:t>Gomez</w:t>
      </w:r>
      <w:proofErr w:type="spellEnd"/>
      <w:r w:rsidRPr="00822870">
        <w:rPr>
          <w:rFonts w:ascii="Times New Roman" w:hAnsi="Times New Roman" w:cs="Times New Roman"/>
          <w:sz w:val="24"/>
          <w:szCs w:val="24"/>
        </w:rPr>
        <w:t xml:space="preserve"> </w:t>
      </w:r>
      <w:proofErr w:type="spellStart"/>
      <w:r w:rsidRPr="00822870">
        <w:rPr>
          <w:rFonts w:ascii="Times New Roman" w:hAnsi="Times New Roman" w:cs="Times New Roman"/>
          <w:sz w:val="24"/>
          <w:szCs w:val="24"/>
        </w:rPr>
        <w:t>Sabaini</w:t>
      </w:r>
      <w:proofErr w:type="spellEnd"/>
      <w:r w:rsidRPr="00822870">
        <w:rPr>
          <w:rFonts w:ascii="Times New Roman" w:hAnsi="Times New Roman" w:cs="Times New Roman"/>
          <w:sz w:val="24"/>
          <w:szCs w:val="24"/>
        </w:rPr>
        <w:t>, J. &amp; Moran</w:t>
      </w:r>
      <w:r>
        <w:rPr>
          <w:rFonts w:ascii="Times New Roman" w:hAnsi="Times New Roman" w:cs="Times New Roman"/>
          <w:sz w:val="24"/>
          <w:szCs w:val="24"/>
        </w:rPr>
        <w:t xml:space="preserve"> D</w:t>
      </w:r>
      <w:r w:rsidRPr="00822870">
        <w:rPr>
          <w:rFonts w:ascii="Times New Roman" w:hAnsi="Times New Roman" w:cs="Times New Roman"/>
          <w:sz w:val="24"/>
          <w:szCs w:val="24"/>
        </w:rPr>
        <w:t>.</w:t>
      </w:r>
      <w:r>
        <w:rPr>
          <w:rFonts w:ascii="Times New Roman" w:hAnsi="Times New Roman" w:cs="Times New Roman"/>
          <w:sz w:val="24"/>
          <w:szCs w:val="24"/>
        </w:rPr>
        <w:t xml:space="preserve"> (2014)</w:t>
      </w:r>
      <w:r w:rsidR="003E3AC7">
        <w:rPr>
          <w:rFonts w:ascii="Times New Roman" w:hAnsi="Times New Roman" w:cs="Times New Roman"/>
          <w:sz w:val="24"/>
          <w:szCs w:val="24"/>
        </w:rPr>
        <w:t xml:space="preserve"> </w:t>
      </w:r>
      <w:proofErr w:type="spellStart"/>
      <w:r w:rsidRPr="00E47469">
        <w:rPr>
          <w:rFonts w:ascii="Times New Roman" w:hAnsi="Times New Roman" w:cs="Times New Roman"/>
          <w:sz w:val="24"/>
          <w:szCs w:val="24"/>
        </w:rPr>
        <w:t>Monotributo</w:t>
      </w:r>
      <w:proofErr w:type="spellEnd"/>
      <w:r w:rsidRPr="00E47469">
        <w:rPr>
          <w:rFonts w:ascii="Times New Roman" w:hAnsi="Times New Roman" w:cs="Times New Roman"/>
          <w:sz w:val="24"/>
          <w:szCs w:val="24"/>
        </w:rPr>
        <w:t xml:space="preserve"> en América Latina. Los casos de Argentina, Brasil y Uruguay. </w:t>
      </w:r>
      <w:r w:rsidR="003E3AC7">
        <w:rPr>
          <w:rFonts w:ascii="Times New Roman" w:hAnsi="Times New Roman" w:cs="Times New Roman"/>
          <w:sz w:val="24"/>
          <w:szCs w:val="24"/>
        </w:rPr>
        <w:t>(86 p). Lima, Perú:</w:t>
      </w:r>
      <w:r w:rsidR="003E3AC7" w:rsidRPr="003E3AC7">
        <w:rPr>
          <w:rFonts w:ascii="Times New Roman" w:hAnsi="Times New Roman" w:cs="Times New Roman"/>
          <w:sz w:val="24"/>
          <w:szCs w:val="24"/>
        </w:rPr>
        <w:t xml:space="preserve"> Oficina Regional para América Latina y el Caribe, Programa de Promoción de la Formalización en América Latina y el Caribe.</w:t>
      </w:r>
    </w:p>
    <w:p w:rsidR="003A36BE" w:rsidRPr="002E0BA1"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2E0BA1">
        <w:rPr>
          <w:rFonts w:ascii="Times New Roman" w:hAnsi="Times New Roman" w:cs="Times New Roman"/>
          <w:sz w:val="24"/>
          <w:szCs w:val="24"/>
        </w:rPr>
        <w:t xml:space="preserve">CIFRA CTA (2011) El mercado de trabajo en la </w:t>
      </w:r>
      <w:r>
        <w:rPr>
          <w:rFonts w:ascii="Times New Roman" w:hAnsi="Times New Roman" w:cs="Times New Roman"/>
          <w:sz w:val="24"/>
          <w:szCs w:val="24"/>
        </w:rPr>
        <w:t>post-convertibilidad</w:t>
      </w:r>
      <w:r w:rsidRPr="002E0BA1">
        <w:rPr>
          <w:rFonts w:ascii="Times New Roman" w:hAnsi="Times New Roman" w:cs="Times New Roman"/>
          <w:sz w:val="24"/>
          <w:szCs w:val="24"/>
        </w:rPr>
        <w:t>.</w:t>
      </w:r>
      <w:r>
        <w:rPr>
          <w:rFonts w:ascii="Times New Roman" w:hAnsi="Times New Roman" w:cs="Times New Roman"/>
          <w:sz w:val="24"/>
          <w:szCs w:val="24"/>
        </w:rPr>
        <w:t xml:space="preserve"> Documento de trabajo n° 10, Julio 2011. </w:t>
      </w:r>
    </w:p>
    <w:p w:rsidR="003A36BE" w:rsidRPr="00667276"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C53B5D">
        <w:rPr>
          <w:rFonts w:ascii="Times New Roman" w:hAnsi="Times New Roman" w:cs="Times New Roman"/>
          <w:sz w:val="24"/>
          <w:szCs w:val="24"/>
        </w:rPr>
        <w:t>Cimoli</w:t>
      </w:r>
      <w:proofErr w:type="spellEnd"/>
      <w:r w:rsidRPr="00C53B5D">
        <w:rPr>
          <w:rFonts w:ascii="Times New Roman" w:hAnsi="Times New Roman" w:cs="Times New Roman"/>
          <w:sz w:val="24"/>
          <w:szCs w:val="24"/>
        </w:rPr>
        <w:t>, M. (2005) (ed.), Heterogeneidad estructural, asimetrías tecnológicas y crecimiento en América Latina</w:t>
      </w:r>
      <w:r w:rsidR="003E3AC7">
        <w:rPr>
          <w:rFonts w:ascii="Times New Roman" w:hAnsi="Times New Roman" w:cs="Times New Roman"/>
          <w:sz w:val="24"/>
          <w:szCs w:val="24"/>
        </w:rPr>
        <w:t xml:space="preserve">. Santiago de Chile: </w:t>
      </w:r>
      <w:r w:rsidRPr="00C53B5D">
        <w:rPr>
          <w:rFonts w:ascii="Times New Roman" w:hAnsi="Times New Roman" w:cs="Times New Roman"/>
          <w:sz w:val="24"/>
          <w:szCs w:val="24"/>
        </w:rPr>
        <w:t xml:space="preserve">CEPAL-BID, LC/W 35. </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CIPPEC (2014) </w:t>
      </w:r>
      <w:r w:rsidRPr="007742D0">
        <w:rPr>
          <w:rFonts w:ascii="Times New Roman" w:hAnsi="Times New Roman" w:cs="Times New Roman"/>
          <w:sz w:val="24"/>
          <w:szCs w:val="24"/>
        </w:rPr>
        <w:t>Inclusión de los jóvenes en la Provincia de Buenos Aires</w:t>
      </w:r>
      <w:r>
        <w:rPr>
          <w:rFonts w:ascii="Times New Roman" w:hAnsi="Times New Roman" w:cs="Times New Roman"/>
          <w:sz w:val="24"/>
          <w:szCs w:val="24"/>
        </w:rPr>
        <w:t xml:space="preserve">, </w:t>
      </w:r>
      <w:r w:rsidRPr="007742D0">
        <w:rPr>
          <w:rFonts w:ascii="Times New Roman" w:hAnsi="Times New Roman" w:cs="Times New Roman"/>
          <w:sz w:val="24"/>
          <w:szCs w:val="24"/>
        </w:rPr>
        <w:t>Documento de Trabajo Nº123 Agosto de 2014</w:t>
      </w:r>
      <w:r>
        <w:rPr>
          <w:rFonts w:ascii="Times New Roman" w:hAnsi="Times New Roman" w:cs="Times New Roman"/>
          <w:sz w:val="24"/>
          <w:szCs w:val="24"/>
        </w:rPr>
        <w:t xml:space="preserve">. </w:t>
      </w:r>
    </w:p>
    <w:p w:rsidR="003A36BE" w:rsidRPr="00667276" w:rsidRDefault="003E3AC7"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CIPPEC y ASAP (2016) </w:t>
      </w:r>
      <w:r w:rsidR="003A36BE" w:rsidRPr="00667276">
        <w:rPr>
          <w:rFonts w:ascii="Times New Roman" w:hAnsi="Times New Roman" w:cs="Times New Roman"/>
          <w:sz w:val="24"/>
          <w:szCs w:val="24"/>
        </w:rPr>
        <w:t>GPS del Estado: Ca</w:t>
      </w:r>
      <w:r>
        <w:rPr>
          <w:rFonts w:ascii="Times New Roman" w:hAnsi="Times New Roman" w:cs="Times New Roman"/>
          <w:sz w:val="24"/>
          <w:szCs w:val="24"/>
        </w:rPr>
        <w:t xml:space="preserve">mbios, continuidades y desafío </w:t>
      </w:r>
      <w:hyperlink r:id="rId14" w:history="1">
        <w:r w:rsidR="003A36BE" w:rsidRPr="00667276">
          <w:rPr>
            <w:rStyle w:val="Hipervnculo"/>
            <w:rFonts w:ascii="Times New Roman" w:hAnsi="Times New Roman" w:cs="Times New Roman"/>
            <w:sz w:val="24"/>
            <w:szCs w:val="24"/>
          </w:rPr>
          <w:t>http://www.cippec.org/documents/10179/56531/GPS+DEL+ESTADO.pdf/6da30174-7e60-4876-bffc-d48c3a0cc148</w:t>
        </w:r>
      </w:hyperlink>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2F3B01">
        <w:rPr>
          <w:rFonts w:ascii="Times New Roman" w:hAnsi="Times New Roman" w:cs="Times New Roman"/>
          <w:sz w:val="24"/>
          <w:szCs w:val="24"/>
        </w:rPr>
        <w:t>D</w:t>
      </w:r>
      <w:r w:rsidR="003E3AC7">
        <w:rPr>
          <w:rFonts w:ascii="Times New Roman" w:hAnsi="Times New Roman" w:cs="Times New Roman"/>
          <w:sz w:val="24"/>
          <w:szCs w:val="24"/>
        </w:rPr>
        <w:t>anani</w:t>
      </w:r>
      <w:proofErr w:type="spellEnd"/>
      <w:r w:rsidR="003E3AC7">
        <w:rPr>
          <w:rFonts w:ascii="Times New Roman" w:hAnsi="Times New Roman" w:cs="Times New Roman"/>
          <w:sz w:val="24"/>
          <w:szCs w:val="24"/>
        </w:rPr>
        <w:t xml:space="preserve">, C. y </w:t>
      </w:r>
      <w:proofErr w:type="spellStart"/>
      <w:r w:rsidR="003E3AC7">
        <w:rPr>
          <w:rFonts w:ascii="Times New Roman" w:hAnsi="Times New Roman" w:cs="Times New Roman"/>
          <w:sz w:val="24"/>
          <w:szCs w:val="24"/>
        </w:rPr>
        <w:t>Grassi</w:t>
      </w:r>
      <w:proofErr w:type="spellEnd"/>
      <w:r w:rsidR="003E3AC7">
        <w:rPr>
          <w:rFonts w:ascii="Times New Roman" w:hAnsi="Times New Roman" w:cs="Times New Roman"/>
          <w:sz w:val="24"/>
          <w:szCs w:val="24"/>
        </w:rPr>
        <w:t xml:space="preserve">, E. (2008): </w:t>
      </w:r>
      <w:r w:rsidRPr="002F3B01">
        <w:rPr>
          <w:rFonts w:ascii="Times New Roman" w:hAnsi="Times New Roman" w:cs="Times New Roman"/>
          <w:sz w:val="24"/>
          <w:szCs w:val="24"/>
        </w:rPr>
        <w:t>Ni error ni omisión. El papel de la política de estado en la producción de las c</w:t>
      </w:r>
      <w:r w:rsidR="003E3AC7">
        <w:rPr>
          <w:rFonts w:ascii="Times New Roman" w:hAnsi="Times New Roman" w:cs="Times New Roman"/>
          <w:sz w:val="24"/>
          <w:szCs w:val="24"/>
        </w:rPr>
        <w:t xml:space="preserve">ondiciones de vida y de trabajo. En </w:t>
      </w:r>
      <w:r w:rsidRPr="003E3AC7">
        <w:rPr>
          <w:rFonts w:ascii="Times New Roman" w:hAnsi="Times New Roman" w:cs="Times New Roman"/>
          <w:i/>
          <w:sz w:val="24"/>
          <w:szCs w:val="24"/>
        </w:rPr>
        <w:t>Trabajo, ingresos y políticas en Argentina. Contribuciones para pensar el siglo XXI</w:t>
      </w:r>
      <w:r w:rsidRPr="002F3B01">
        <w:rPr>
          <w:rFonts w:ascii="Times New Roman" w:hAnsi="Times New Roman" w:cs="Times New Roman"/>
          <w:sz w:val="24"/>
          <w:szCs w:val="24"/>
        </w:rPr>
        <w:t>.</w:t>
      </w:r>
      <w:r w:rsidR="003E3AC7">
        <w:rPr>
          <w:rFonts w:ascii="Times New Roman" w:hAnsi="Times New Roman" w:cs="Times New Roman"/>
          <w:sz w:val="24"/>
          <w:szCs w:val="24"/>
        </w:rPr>
        <w:t xml:space="preserve"> </w:t>
      </w:r>
      <w:proofErr w:type="spellStart"/>
      <w:r w:rsidR="003E3AC7" w:rsidRPr="002F3B01">
        <w:rPr>
          <w:rFonts w:ascii="Times New Roman" w:hAnsi="Times New Roman" w:cs="Times New Roman"/>
          <w:sz w:val="24"/>
          <w:szCs w:val="24"/>
        </w:rPr>
        <w:t>Lindenboim</w:t>
      </w:r>
      <w:proofErr w:type="spellEnd"/>
      <w:r w:rsidR="003E3AC7" w:rsidRPr="002F3B01">
        <w:rPr>
          <w:rFonts w:ascii="Times New Roman" w:hAnsi="Times New Roman" w:cs="Times New Roman"/>
          <w:sz w:val="24"/>
          <w:szCs w:val="24"/>
        </w:rPr>
        <w:t xml:space="preserve"> J. (</w:t>
      </w:r>
      <w:proofErr w:type="spellStart"/>
      <w:r w:rsidR="003E3AC7" w:rsidRPr="002F3B01">
        <w:rPr>
          <w:rFonts w:ascii="Times New Roman" w:hAnsi="Times New Roman" w:cs="Times New Roman"/>
          <w:sz w:val="24"/>
          <w:szCs w:val="24"/>
        </w:rPr>
        <w:t>comp</w:t>
      </w:r>
      <w:r w:rsidR="003E3AC7">
        <w:rPr>
          <w:rFonts w:ascii="Times New Roman" w:hAnsi="Times New Roman" w:cs="Times New Roman"/>
          <w:sz w:val="24"/>
          <w:szCs w:val="24"/>
        </w:rPr>
        <w:t>.</w:t>
      </w:r>
      <w:proofErr w:type="spellEnd"/>
      <w:r w:rsidR="003E3AC7">
        <w:rPr>
          <w:rFonts w:ascii="Times New Roman" w:hAnsi="Times New Roman" w:cs="Times New Roman"/>
          <w:sz w:val="24"/>
          <w:szCs w:val="24"/>
        </w:rPr>
        <w:t>).</w:t>
      </w:r>
      <w:r w:rsidRPr="002F3B01">
        <w:rPr>
          <w:rFonts w:ascii="Times New Roman" w:hAnsi="Times New Roman" w:cs="Times New Roman"/>
          <w:sz w:val="24"/>
          <w:szCs w:val="24"/>
        </w:rPr>
        <w:t xml:space="preserve"> Buenos Aires, EUDEBA.</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2F3B01">
        <w:rPr>
          <w:rFonts w:ascii="Times New Roman" w:hAnsi="Times New Roman" w:cs="Times New Roman"/>
          <w:sz w:val="24"/>
          <w:szCs w:val="24"/>
        </w:rPr>
        <w:t>Danani</w:t>
      </w:r>
      <w:proofErr w:type="spellEnd"/>
      <w:r w:rsidRPr="002F3B01">
        <w:rPr>
          <w:rFonts w:ascii="Times New Roman" w:hAnsi="Times New Roman" w:cs="Times New Roman"/>
          <w:sz w:val="24"/>
          <w:szCs w:val="24"/>
        </w:rPr>
        <w:t xml:space="preserve">, C., y </w:t>
      </w:r>
      <w:proofErr w:type="spellStart"/>
      <w:r w:rsidRPr="002F3B01">
        <w:rPr>
          <w:rFonts w:ascii="Times New Roman" w:hAnsi="Times New Roman" w:cs="Times New Roman"/>
          <w:sz w:val="24"/>
          <w:szCs w:val="24"/>
        </w:rPr>
        <w:t>Hintze</w:t>
      </w:r>
      <w:proofErr w:type="spellEnd"/>
      <w:r w:rsidRPr="002F3B01">
        <w:rPr>
          <w:rFonts w:ascii="Times New Roman" w:hAnsi="Times New Roman" w:cs="Times New Roman"/>
          <w:sz w:val="24"/>
          <w:szCs w:val="24"/>
        </w:rPr>
        <w:t>, S. (2011). Introducción. Protección y seguridad social para distintas categorías de trabajadores: definiciones conceptuales, propuestas de abord</w:t>
      </w:r>
      <w:r w:rsidR="003E3AC7">
        <w:rPr>
          <w:rFonts w:ascii="Times New Roman" w:hAnsi="Times New Roman" w:cs="Times New Roman"/>
          <w:sz w:val="24"/>
          <w:szCs w:val="24"/>
        </w:rPr>
        <w:t>aje e intento de interpretación</w:t>
      </w:r>
      <w:r w:rsidRPr="002F3B01">
        <w:rPr>
          <w:rFonts w:ascii="Times New Roman" w:hAnsi="Times New Roman" w:cs="Times New Roman"/>
          <w:sz w:val="24"/>
          <w:szCs w:val="24"/>
        </w:rPr>
        <w:t xml:space="preserve">. En: </w:t>
      </w:r>
      <w:r w:rsidRPr="003E3AC7">
        <w:rPr>
          <w:rFonts w:ascii="Times New Roman" w:hAnsi="Times New Roman" w:cs="Times New Roman"/>
          <w:i/>
          <w:sz w:val="24"/>
          <w:szCs w:val="24"/>
        </w:rPr>
        <w:t>Protecciones y desprotecciones. La seguridad social en la Argentina 1990-2010</w:t>
      </w:r>
      <w:r w:rsidRPr="002F3B01">
        <w:rPr>
          <w:rFonts w:ascii="Times New Roman" w:hAnsi="Times New Roman" w:cs="Times New Roman"/>
          <w:sz w:val="24"/>
          <w:szCs w:val="24"/>
        </w:rPr>
        <w:t xml:space="preserve">. </w:t>
      </w:r>
      <w:proofErr w:type="spellStart"/>
      <w:r w:rsidR="003E3AC7">
        <w:rPr>
          <w:rFonts w:ascii="Times New Roman" w:hAnsi="Times New Roman" w:cs="Times New Roman"/>
          <w:sz w:val="24"/>
          <w:szCs w:val="24"/>
        </w:rPr>
        <w:t>Danani</w:t>
      </w:r>
      <w:proofErr w:type="spellEnd"/>
      <w:r w:rsidR="003E3AC7">
        <w:rPr>
          <w:rFonts w:ascii="Times New Roman" w:hAnsi="Times New Roman" w:cs="Times New Roman"/>
          <w:sz w:val="24"/>
          <w:szCs w:val="24"/>
        </w:rPr>
        <w:t xml:space="preserve">, C y S. </w:t>
      </w:r>
      <w:proofErr w:type="spellStart"/>
      <w:r w:rsidR="003E3AC7">
        <w:rPr>
          <w:rFonts w:ascii="Times New Roman" w:hAnsi="Times New Roman" w:cs="Times New Roman"/>
          <w:sz w:val="24"/>
          <w:szCs w:val="24"/>
        </w:rPr>
        <w:t>Hintze</w:t>
      </w:r>
      <w:proofErr w:type="spellEnd"/>
      <w:r w:rsidR="003E3AC7">
        <w:rPr>
          <w:rFonts w:ascii="Times New Roman" w:hAnsi="Times New Roman" w:cs="Times New Roman"/>
          <w:sz w:val="24"/>
          <w:szCs w:val="24"/>
        </w:rPr>
        <w:t xml:space="preserve"> (</w:t>
      </w:r>
      <w:proofErr w:type="spellStart"/>
      <w:r w:rsidR="003E3AC7">
        <w:rPr>
          <w:rFonts w:ascii="Times New Roman" w:hAnsi="Times New Roman" w:cs="Times New Roman"/>
          <w:sz w:val="24"/>
          <w:szCs w:val="24"/>
        </w:rPr>
        <w:t>coords</w:t>
      </w:r>
      <w:proofErr w:type="spellEnd"/>
      <w:r w:rsidR="003E3AC7">
        <w:rPr>
          <w:rFonts w:ascii="Times New Roman" w:hAnsi="Times New Roman" w:cs="Times New Roman"/>
          <w:sz w:val="24"/>
          <w:szCs w:val="24"/>
        </w:rPr>
        <w:t xml:space="preserve">). </w:t>
      </w:r>
      <w:r w:rsidRPr="002F3B01">
        <w:rPr>
          <w:rFonts w:ascii="Times New Roman" w:hAnsi="Times New Roman" w:cs="Times New Roman"/>
          <w:sz w:val="24"/>
          <w:szCs w:val="24"/>
        </w:rPr>
        <w:t>Los Polvorines: Universidad Nacional de General Sarmiento.</w:t>
      </w:r>
    </w:p>
    <w:p w:rsidR="003A36BE" w:rsidRPr="00A96721"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A96721">
        <w:rPr>
          <w:rFonts w:ascii="Times New Roman" w:hAnsi="Times New Roman" w:cs="Times New Roman"/>
          <w:sz w:val="24"/>
          <w:szCs w:val="24"/>
        </w:rPr>
        <w:t xml:space="preserve">Diéguez, G. y </w:t>
      </w:r>
      <w:proofErr w:type="spellStart"/>
      <w:r w:rsidRPr="00A96721">
        <w:rPr>
          <w:rFonts w:ascii="Times New Roman" w:hAnsi="Times New Roman" w:cs="Times New Roman"/>
          <w:sz w:val="24"/>
          <w:szCs w:val="24"/>
        </w:rPr>
        <w:t>Gasparin</w:t>
      </w:r>
      <w:proofErr w:type="spellEnd"/>
      <w:r w:rsidRPr="00A96721">
        <w:rPr>
          <w:rFonts w:ascii="Times New Roman" w:hAnsi="Times New Roman" w:cs="Times New Roman"/>
          <w:sz w:val="24"/>
          <w:szCs w:val="24"/>
        </w:rPr>
        <w:t>, J. (2016) El rompecabezas del empleo público en Argentina: ¿Quiénes hacen func</w:t>
      </w:r>
      <w:r w:rsidR="003E3AC7">
        <w:rPr>
          <w:rFonts w:ascii="Times New Roman" w:hAnsi="Times New Roman" w:cs="Times New Roman"/>
          <w:sz w:val="24"/>
          <w:szCs w:val="24"/>
        </w:rPr>
        <w:t>ionar la maquinaria del Estado?</w:t>
      </w:r>
      <w:r w:rsidRPr="00A96721">
        <w:rPr>
          <w:rFonts w:ascii="Times New Roman" w:hAnsi="Times New Roman" w:cs="Times New Roman"/>
          <w:sz w:val="24"/>
          <w:szCs w:val="24"/>
        </w:rPr>
        <w:t xml:space="preserve"> </w:t>
      </w:r>
      <w:r w:rsidR="003E3AC7">
        <w:rPr>
          <w:rFonts w:ascii="Times New Roman" w:hAnsi="Times New Roman" w:cs="Times New Roman"/>
          <w:sz w:val="24"/>
          <w:szCs w:val="24"/>
        </w:rPr>
        <w:t xml:space="preserve">En </w:t>
      </w:r>
      <w:r w:rsidRPr="00A96721">
        <w:rPr>
          <w:rFonts w:ascii="Times New Roman" w:hAnsi="Times New Roman" w:cs="Times New Roman"/>
          <w:sz w:val="24"/>
          <w:szCs w:val="24"/>
        </w:rPr>
        <w:t>Documento de Políticas Públicas / Análisis N°162. Buenos Aires: CIPPEC.</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C53B5D">
        <w:rPr>
          <w:rFonts w:ascii="Times New Roman" w:hAnsi="Times New Roman" w:cs="Times New Roman"/>
          <w:sz w:val="24"/>
          <w:szCs w:val="24"/>
        </w:rPr>
        <w:t>Diez de Medina, R. (2001). El trabajo de los jóvenes en los países del Mercosur y Chile en el fin del siglo, OIT, ETM-Santiago, Documento de trabajo no.134</w:t>
      </w:r>
      <w:r w:rsidR="003E3AC7">
        <w:rPr>
          <w:rFonts w:ascii="Times New Roman" w:hAnsi="Times New Roman" w:cs="Times New Roman"/>
          <w:sz w:val="24"/>
          <w:szCs w:val="24"/>
        </w:rPr>
        <w:t>.</w:t>
      </w:r>
      <w:r w:rsidRPr="00C53B5D">
        <w:rPr>
          <w:rFonts w:ascii="Times New Roman" w:hAnsi="Times New Roman" w:cs="Times New Roman"/>
          <w:sz w:val="24"/>
          <w:szCs w:val="24"/>
        </w:rPr>
        <w:t xml:space="preserve"> </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8B04AD">
        <w:rPr>
          <w:rFonts w:ascii="Times New Roman" w:hAnsi="Times New Roman" w:cs="Times New Roman"/>
          <w:sz w:val="24"/>
          <w:szCs w:val="24"/>
        </w:rPr>
        <w:t>Eguía</w:t>
      </w:r>
      <w:proofErr w:type="spellEnd"/>
      <w:r w:rsidRPr="008B04AD">
        <w:rPr>
          <w:rFonts w:ascii="Times New Roman" w:hAnsi="Times New Roman" w:cs="Times New Roman"/>
          <w:sz w:val="24"/>
          <w:szCs w:val="24"/>
        </w:rPr>
        <w:t xml:space="preserve"> A., </w:t>
      </w:r>
      <w:proofErr w:type="spellStart"/>
      <w:r w:rsidRPr="008B04AD">
        <w:rPr>
          <w:rFonts w:ascii="Times New Roman" w:hAnsi="Times New Roman" w:cs="Times New Roman"/>
          <w:sz w:val="24"/>
          <w:szCs w:val="24"/>
        </w:rPr>
        <w:t>Piovani</w:t>
      </w:r>
      <w:proofErr w:type="spellEnd"/>
      <w:r w:rsidRPr="008B04AD">
        <w:rPr>
          <w:rFonts w:ascii="Times New Roman" w:hAnsi="Times New Roman" w:cs="Times New Roman"/>
          <w:sz w:val="24"/>
          <w:szCs w:val="24"/>
        </w:rPr>
        <w:t xml:space="preserve"> J. y Salvia A.  (2007). Género y Trabajo: Estudios de las asimetrías </w:t>
      </w:r>
      <w:proofErr w:type="spellStart"/>
      <w:r w:rsidRPr="008B04AD">
        <w:rPr>
          <w:rFonts w:ascii="Times New Roman" w:hAnsi="Times New Roman" w:cs="Times New Roman"/>
          <w:sz w:val="24"/>
          <w:szCs w:val="24"/>
        </w:rPr>
        <w:t>intergéneros</w:t>
      </w:r>
      <w:proofErr w:type="spellEnd"/>
      <w:r w:rsidRPr="008B04AD">
        <w:rPr>
          <w:rFonts w:ascii="Times New Roman" w:hAnsi="Times New Roman" w:cs="Times New Roman"/>
          <w:sz w:val="24"/>
          <w:szCs w:val="24"/>
        </w:rPr>
        <w:t xml:space="preserve"> e </w:t>
      </w:r>
      <w:proofErr w:type="spellStart"/>
      <w:r w:rsidRPr="008B04AD">
        <w:rPr>
          <w:rFonts w:ascii="Times New Roman" w:hAnsi="Times New Roman" w:cs="Times New Roman"/>
          <w:sz w:val="24"/>
          <w:szCs w:val="24"/>
        </w:rPr>
        <w:t>intragéneros</w:t>
      </w:r>
      <w:proofErr w:type="spellEnd"/>
      <w:r w:rsidRPr="008B04AD">
        <w:rPr>
          <w:rFonts w:ascii="Times New Roman" w:hAnsi="Times New Roman" w:cs="Times New Roman"/>
          <w:sz w:val="24"/>
          <w:szCs w:val="24"/>
        </w:rPr>
        <w:t xml:space="preserve"> en áreas metropolitanas de la Argentina. 1992-2002. Buenos Aires: EDUNTREF.</w:t>
      </w:r>
    </w:p>
    <w:p w:rsidR="003A36BE" w:rsidRPr="00C53B5D" w:rsidRDefault="003E3AC7"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Fernández </w:t>
      </w:r>
      <w:proofErr w:type="spellStart"/>
      <w:r>
        <w:rPr>
          <w:rFonts w:ascii="Times New Roman" w:hAnsi="Times New Roman" w:cs="Times New Roman"/>
          <w:sz w:val="24"/>
          <w:szCs w:val="24"/>
        </w:rPr>
        <w:t>Massi</w:t>
      </w:r>
      <w:proofErr w:type="spellEnd"/>
      <w:r>
        <w:rPr>
          <w:rFonts w:ascii="Times New Roman" w:hAnsi="Times New Roman" w:cs="Times New Roman"/>
          <w:sz w:val="24"/>
          <w:szCs w:val="24"/>
        </w:rPr>
        <w:t xml:space="preserve"> M (2014) </w:t>
      </w:r>
      <w:r w:rsidR="003A36BE" w:rsidRPr="00C53B5D">
        <w:rPr>
          <w:rFonts w:ascii="Times New Roman" w:hAnsi="Times New Roman" w:cs="Times New Roman"/>
          <w:sz w:val="24"/>
          <w:szCs w:val="24"/>
        </w:rPr>
        <w:t>Una mirada sectorial sobre las inserciones laborales precar</w:t>
      </w:r>
      <w:r>
        <w:rPr>
          <w:rFonts w:ascii="Times New Roman" w:hAnsi="Times New Roman" w:cs="Times New Roman"/>
          <w:sz w:val="24"/>
          <w:szCs w:val="24"/>
        </w:rPr>
        <w:t>ias de los jóvenes en Argentina</w:t>
      </w:r>
      <w:r w:rsidR="003A36BE" w:rsidRPr="00C53B5D">
        <w:rPr>
          <w:rFonts w:ascii="Times New Roman" w:hAnsi="Times New Roman" w:cs="Times New Roman"/>
          <w:sz w:val="24"/>
          <w:szCs w:val="24"/>
        </w:rPr>
        <w:t xml:space="preserve"> en</w:t>
      </w:r>
      <w:r>
        <w:rPr>
          <w:rFonts w:ascii="Times New Roman" w:hAnsi="Times New Roman" w:cs="Times New Roman"/>
          <w:sz w:val="24"/>
          <w:szCs w:val="24"/>
        </w:rPr>
        <w:t xml:space="preserve"> P. Pérez y M. </w:t>
      </w:r>
      <w:proofErr w:type="spellStart"/>
      <w:r>
        <w:rPr>
          <w:rFonts w:ascii="Times New Roman" w:hAnsi="Times New Roman" w:cs="Times New Roman"/>
          <w:sz w:val="24"/>
          <w:szCs w:val="24"/>
        </w:rPr>
        <w:t>Busso</w:t>
      </w:r>
      <w:proofErr w:type="spellEnd"/>
      <w:r>
        <w:rPr>
          <w:rFonts w:ascii="Times New Roman" w:hAnsi="Times New Roman" w:cs="Times New Roman"/>
          <w:sz w:val="24"/>
          <w:szCs w:val="24"/>
        </w:rPr>
        <w:t xml:space="preserve"> (coord.). </w:t>
      </w:r>
      <w:r w:rsidR="003A36BE" w:rsidRPr="00C53B5D">
        <w:rPr>
          <w:rFonts w:ascii="Times New Roman" w:hAnsi="Times New Roman" w:cs="Times New Roman"/>
          <w:sz w:val="24"/>
          <w:szCs w:val="24"/>
        </w:rPr>
        <w:t xml:space="preserve">Tiempos Contingentes. </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322CF2">
        <w:rPr>
          <w:rFonts w:ascii="Times New Roman" w:hAnsi="Times New Roman" w:cs="Times New Roman"/>
          <w:sz w:val="24"/>
          <w:szCs w:val="24"/>
          <w:lang w:val="en-US"/>
        </w:rPr>
        <w:t>Fernández</w:t>
      </w:r>
      <w:proofErr w:type="spellEnd"/>
      <w:r w:rsidRPr="00322CF2">
        <w:rPr>
          <w:rFonts w:ascii="Times New Roman" w:hAnsi="Times New Roman" w:cs="Times New Roman"/>
          <w:sz w:val="24"/>
          <w:szCs w:val="24"/>
          <w:lang w:val="en-US"/>
        </w:rPr>
        <w:t xml:space="preserve">, Maurizio y </w:t>
      </w:r>
      <w:proofErr w:type="spellStart"/>
      <w:r w:rsidRPr="00322CF2">
        <w:rPr>
          <w:rFonts w:ascii="Times New Roman" w:hAnsi="Times New Roman" w:cs="Times New Roman"/>
          <w:sz w:val="24"/>
          <w:szCs w:val="24"/>
          <w:lang w:val="en-US"/>
        </w:rPr>
        <w:t>Monsalvo</w:t>
      </w:r>
      <w:proofErr w:type="spellEnd"/>
      <w:r w:rsidRPr="00322CF2">
        <w:rPr>
          <w:rFonts w:ascii="Times New Roman" w:hAnsi="Times New Roman" w:cs="Times New Roman"/>
          <w:sz w:val="24"/>
          <w:szCs w:val="24"/>
          <w:lang w:val="en-US"/>
        </w:rPr>
        <w:t xml:space="preserve"> (2007) Occupational instability of young workers. </w:t>
      </w:r>
      <w:proofErr w:type="spellStart"/>
      <w:r w:rsidRPr="00C53B5D">
        <w:rPr>
          <w:rFonts w:ascii="Times New Roman" w:hAnsi="Times New Roman" w:cs="Times New Roman"/>
          <w:sz w:val="24"/>
          <w:szCs w:val="24"/>
        </w:rPr>
        <w:t>Some</w:t>
      </w:r>
      <w:proofErr w:type="spellEnd"/>
      <w:r w:rsidRPr="00C53B5D">
        <w:rPr>
          <w:rFonts w:ascii="Times New Roman" w:hAnsi="Times New Roman" w:cs="Times New Roman"/>
          <w:sz w:val="24"/>
          <w:szCs w:val="24"/>
        </w:rPr>
        <w:t xml:space="preserve"> </w:t>
      </w:r>
      <w:proofErr w:type="spellStart"/>
      <w:r w:rsidRPr="00C53B5D">
        <w:rPr>
          <w:rFonts w:ascii="Times New Roman" w:hAnsi="Times New Roman" w:cs="Times New Roman"/>
          <w:sz w:val="24"/>
          <w:szCs w:val="24"/>
        </w:rPr>
        <w:t>evidences</w:t>
      </w:r>
      <w:proofErr w:type="spellEnd"/>
      <w:r w:rsidRPr="00C53B5D">
        <w:rPr>
          <w:rFonts w:ascii="Times New Roman" w:hAnsi="Times New Roman" w:cs="Times New Roman"/>
          <w:sz w:val="24"/>
          <w:szCs w:val="24"/>
        </w:rPr>
        <w:t xml:space="preserve"> </w:t>
      </w:r>
      <w:proofErr w:type="spellStart"/>
      <w:r w:rsidRPr="00C53B5D">
        <w:rPr>
          <w:rFonts w:ascii="Times New Roman" w:hAnsi="Times New Roman" w:cs="Times New Roman"/>
          <w:sz w:val="24"/>
          <w:szCs w:val="24"/>
        </w:rPr>
        <w:t>for</w:t>
      </w:r>
      <w:proofErr w:type="spellEnd"/>
      <w:r w:rsidRPr="00C53B5D">
        <w:rPr>
          <w:rFonts w:ascii="Times New Roman" w:hAnsi="Times New Roman" w:cs="Times New Roman"/>
          <w:sz w:val="24"/>
          <w:szCs w:val="24"/>
        </w:rPr>
        <w:t xml:space="preserve"> Argentina. Ponencia presentada en la XLII Reunión Anual de la Asociación Argentina de Economía Política. Bahía Blanca, Noviembre. </w:t>
      </w:r>
    </w:p>
    <w:p w:rsidR="003A36BE" w:rsidRDefault="003E3AC7"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Gautié</w:t>
      </w:r>
      <w:proofErr w:type="spellEnd"/>
      <w:r>
        <w:rPr>
          <w:rFonts w:ascii="Times New Roman" w:hAnsi="Times New Roman" w:cs="Times New Roman"/>
          <w:sz w:val="24"/>
          <w:szCs w:val="24"/>
        </w:rPr>
        <w:t xml:space="preserve"> J., (2003). </w:t>
      </w:r>
      <w:proofErr w:type="spellStart"/>
      <w:r w:rsidR="003A36BE" w:rsidRPr="00C53B5D">
        <w:rPr>
          <w:rFonts w:ascii="Times New Roman" w:hAnsi="Times New Roman" w:cs="Times New Roman"/>
          <w:sz w:val="24"/>
          <w:szCs w:val="24"/>
        </w:rPr>
        <w:t>Transition</w:t>
      </w:r>
      <w:proofErr w:type="spellEnd"/>
      <w:r w:rsidR="003A36BE" w:rsidRPr="00C53B5D">
        <w:rPr>
          <w:rFonts w:ascii="Times New Roman" w:hAnsi="Times New Roman" w:cs="Times New Roman"/>
          <w:sz w:val="24"/>
          <w:szCs w:val="24"/>
        </w:rPr>
        <w:t xml:space="preserve"> et </w:t>
      </w:r>
      <w:proofErr w:type="spellStart"/>
      <w:r w:rsidR="003A36BE" w:rsidRPr="00C53B5D">
        <w:rPr>
          <w:rFonts w:ascii="Times New Roman" w:hAnsi="Times New Roman" w:cs="Times New Roman"/>
          <w:sz w:val="24"/>
          <w:szCs w:val="24"/>
        </w:rPr>
        <w:t>traject</w:t>
      </w:r>
      <w:r>
        <w:rPr>
          <w:rFonts w:ascii="Times New Roman" w:hAnsi="Times New Roman" w:cs="Times New Roman"/>
          <w:sz w:val="24"/>
          <w:szCs w:val="24"/>
        </w:rPr>
        <w:t>oires</w:t>
      </w:r>
      <w:proofErr w:type="spellEnd"/>
      <w:r>
        <w:rPr>
          <w:rFonts w:ascii="Times New Roman" w:hAnsi="Times New Roman" w:cs="Times New Roman"/>
          <w:sz w:val="24"/>
          <w:szCs w:val="24"/>
        </w:rPr>
        <w:t xml:space="preserve"> sur le marché du </w:t>
      </w:r>
      <w:proofErr w:type="spellStart"/>
      <w:r>
        <w:rPr>
          <w:rFonts w:ascii="Times New Roman" w:hAnsi="Times New Roman" w:cs="Times New Roman"/>
          <w:sz w:val="24"/>
          <w:szCs w:val="24"/>
        </w:rPr>
        <w:t>travail</w:t>
      </w:r>
      <w:proofErr w:type="spellEnd"/>
      <w:r w:rsidR="003A36BE" w:rsidRPr="00C53B5D">
        <w:rPr>
          <w:rFonts w:ascii="Times New Roman" w:hAnsi="Times New Roman" w:cs="Times New Roman"/>
          <w:sz w:val="24"/>
          <w:szCs w:val="24"/>
        </w:rPr>
        <w:t xml:space="preserve">, </w:t>
      </w:r>
      <w:proofErr w:type="spellStart"/>
      <w:r w:rsidR="003A36BE" w:rsidRPr="00C53B5D">
        <w:rPr>
          <w:rFonts w:ascii="Times New Roman" w:hAnsi="Times New Roman" w:cs="Times New Roman"/>
          <w:sz w:val="24"/>
          <w:szCs w:val="24"/>
        </w:rPr>
        <w:t>Quatre</w:t>
      </w:r>
      <w:proofErr w:type="spellEnd"/>
      <w:r w:rsidR="003A36BE" w:rsidRPr="00C53B5D">
        <w:rPr>
          <w:rFonts w:ascii="Times New Roman" w:hAnsi="Times New Roman" w:cs="Times New Roman"/>
          <w:sz w:val="24"/>
          <w:szCs w:val="24"/>
        </w:rPr>
        <w:t xml:space="preserve"> </w:t>
      </w:r>
      <w:proofErr w:type="spellStart"/>
      <w:r w:rsidR="003A36BE" w:rsidRPr="00C53B5D">
        <w:rPr>
          <w:rFonts w:ascii="Times New Roman" w:hAnsi="Times New Roman" w:cs="Times New Roman"/>
          <w:sz w:val="24"/>
          <w:szCs w:val="24"/>
        </w:rPr>
        <w:t>Pages</w:t>
      </w:r>
      <w:proofErr w:type="spellEnd"/>
      <w:r w:rsidR="003A36BE" w:rsidRPr="00C53B5D">
        <w:rPr>
          <w:rFonts w:ascii="Times New Roman" w:hAnsi="Times New Roman" w:cs="Times New Roman"/>
          <w:sz w:val="24"/>
          <w:szCs w:val="24"/>
        </w:rPr>
        <w:t>, N°59, CEE, Paris.</w:t>
      </w:r>
    </w:p>
    <w:p w:rsidR="003A36BE" w:rsidRPr="002E0BA1" w:rsidRDefault="003E3AC7"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lang w:val="en-US"/>
        </w:rPr>
        <w:t>Grassi</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Hintze</w:t>
      </w:r>
      <w:proofErr w:type="spellEnd"/>
      <w:r>
        <w:rPr>
          <w:rFonts w:ascii="Times New Roman" w:hAnsi="Times New Roman" w:cs="Times New Roman"/>
          <w:sz w:val="24"/>
          <w:szCs w:val="24"/>
          <w:lang w:val="en-US"/>
        </w:rPr>
        <w:t>, S.,</w:t>
      </w:r>
      <w:r w:rsidR="003A36BE" w:rsidRPr="004B7B3A">
        <w:rPr>
          <w:rFonts w:ascii="Times New Roman" w:hAnsi="Times New Roman" w:cs="Times New Roman"/>
          <w:sz w:val="24"/>
          <w:szCs w:val="24"/>
          <w:lang w:val="en-US"/>
        </w:rPr>
        <w:t xml:space="preserve"> Neufeld, M. R. (1994). </w:t>
      </w:r>
      <w:proofErr w:type="spellStart"/>
      <w:r w:rsidR="003A36BE" w:rsidRPr="002E0BA1">
        <w:rPr>
          <w:rFonts w:ascii="Times New Roman" w:hAnsi="Times New Roman" w:cs="Times New Roman"/>
          <w:sz w:val="24"/>
          <w:szCs w:val="24"/>
        </w:rPr>
        <w:t>Politicas</w:t>
      </w:r>
      <w:proofErr w:type="spellEnd"/>
      <w:r w:rsidR="003A36BE" w:rsidRPr="002E0BA1">
        <w:rPr>
          <w:rFonts w:ascii="Times New Roman" w:hAnsi="Times New Roman" w:cs="Times New Roman"/>
          <w:sz w:val="24"/>
          <w:szCs w:val="24"/>
        </w:rPr>
        <w:t xml:space="preserve"> sociales, crisis y ajuste estructural: Un análisis del sistema educativo, de obras sociales y de las </w:t>
      </w:r>
      <w:proofErr w:type="spellStart"/>
      <w:r w:rsidR="003A36BE" w:rsidRPr="002E0BA1">
        <w:rPr>
          <w:rFonts w:ascii="Times New Roman" w:hAnsi="Times New Roman" w:cs="Times New Roman"/>
          <w:sz w:val="24"/>
          <w:szCs w:val="24"/>
        </w:rPr>
        <w:t>politicas</w:t>
      </w:r>
      <w:proofErr w:type="spellEnd"/>
      <w:r w:rsidR="003A36BE" w:rsidRPr="002E0BA1">
        <w:rPr>
          <w:rFonts w:ascii="Times New Roman" w:hAnsi="Times New Roman" w:cs="Times New Roman"/>
          <w:sz w:val="24"/>
          <w:szCs w:val="24"/>
        </w:rPr>
        <w:t xml:space="preserve"> alimentarias. Buenos Aires: Espacio Editorial.</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C53B5D">
        <w:rPr>
          <w:rFonts w:ascii="Times New Roman" w:hAnsi="Times New Roman" w:cs="Times New Roman"/>
          <w:sz w:val="24"/>
          <w:szCs w:val="24"/>
        </w:rPr>
        <w:lastRenderedPageBreak/>
        <w:t xml:space="preserve">Infante, R. (2011): El desarrollo inclusivo en América Latina y el Caribe. Ensayos sobre políticas de convergencia productiva para </w:t>
      </w:r>
      <w:r w:rsidR="003E3AC7">
        <w:rPr>
          <w:rFonts w:ascii="Times New Roman" w:hAnsi="Times New Roman" w:cs="Times New Roman"/>
          <w:sz w:val="24"/>
          <w:szCs w:val="24"/>
        </w:rPr>
        <w:t xml:space="preserve">la igualdad, Santiago de Chile: </w:t>
      </w:r>
      <w:r w:rsidRPr="00C53B5D">
        <w:rPr>
          <w:rFonts w:ascii="Times New Roman" w:hAnsi="Times New Roman" w:cs="Times New Roman"/>
          <w:sz w:val="24"/>
          <w:szCs w:val="24"/>
        </w:rPr>
        <w:t>CEPAL.</w:t>
      </w:r>
    </w:p>
    <w:p w:rsidR="003A36BE" w:rsidRPr="00C53B5D" w:rsidRDefault="003E3AC7"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Jacinto C., (1996) </w:t>
      </w:r>
      <w:r w:rsidR="003A36BE" w:rsidRPr="00C53B5D">
        <w:rPr>
          <w:rFonts w:ascii="Times New Roman" w:hAnsi="Times New Roman" w:cs="Times New Roman"/>
          <w:sz w:val="24"/>
          <w:szCs w:val="24"/>
        </w:rPr>
        <w:t xml:space="preserve">Desempleo y transición educación-trabajo en jóvenes de bajos niveles educativos. De la problemática estructural a </w:t>
      </w:r>
      <w:r>
        <w:rPr>
          <w:rFonts w:ascii="Times New Roman" w:hAnsi="Times New Roman" w:cs="Times New Roman"/>
          <w:sz w:val="24"/>
          <w:szCs w:val="24"/>
        </w:rPr>
        <w:t xml:space="preserve">la construcción de trayectorias, en </w:t>
      </w:r>
      <w:r w:rsidR="003A36BE" w:rsidRPr="00C53B5D">
        <w:rPr>
          <w:rFonts w:ascii="Times New Roman" w:hAnsi="Times New Roman" w:cs="Times New Roman"/>
          <w:sz w:val="24"/>
          <w:szCs w:val="24"/>
        </w:rPr>
        <w:t>Dialógica, Nº1, Buenos Aires.</w:t>
      </w:r>
    </w:p>
    <w:p w:rsidR="003A36BE" w:rsidRPr="00C53B5D" w:rsidRDefault="003E3AC7"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Jacinto C., (2004). </w:t>
      </w:r>
      <w:r w:rsidR="003A36BE" w:rsidRPr="00C53B5D">
        <w:rPr>
          <w:rFonts w:ascii="Times New Roman" w:hAnsi="Times New Roman" w:cs="Times New Roman"/>
          <w:sz w:val="24"/>
          <w:szCs w:val="24"/>
        </w:rPr>
        <w:t>Ante la polarización de oportunidades laborales de los jóvenes en América Latina. Un análisis de algunas propuestas recientes en l</w:t>
      </w:r>
      <w:r>
        <w:rPr>
          <w:rFonts w:ascii="Times New Roman" w:hAnsi="Times New Roman" w:cs="Times New Roman"/>
          <w:sz w:val="24"/>
          <w:szCs w:val="24"/>
        </w:rPr>
        <w:t>a formación para el trabajo</w:t>
      </w:r>
      <w:r w:rsidR="003A36BE" w:rsidRPr="00C53B5D">
        <w:rPr>
          <w:rFonts w:ascii="Times New Roman" w:hAnsi="Times New Roman" w:cs="Times New Roman"/>
          <w:sz w:val="24"/>
          <w:szCs w:val="24"/>
        </w:rPr>
        <w:t xml:space="preserve">, </w:t>
      </w:r>
      <w:r>
        <w:rPr>
          <w:rFonts w:ascii="Times New Roman" w:hAnsi="Times New Roman" w:cs="Times New Roman"/>
          <w:sz w:val="24"/>
          <w:szCs w:val="24"/>
        </w:rPr>
        <w:t>e</w:t>
      </w:r>
      <w:r w:rsidR="003A36BE" w:rsidRPr="00C53B5D">
        <w:rPr>
          <w:rFonts w:ascii="Times New Roman" w:hAnsi="Times New Roman" w:cs="Times New Roman"/>
          <w:sz w:val="24"/>
          <w:szCs w:val="24"/>
        </w:rPr>
        <w:t>n Jacinto C. (coord</w:t>
      </w:r>
      <w:proofErr w:type="gramStart"/>
      <w:r w:rsidR="003A36BE" w:rsidRPr="00C53B5D">
        <w:rPr>
          <w:rFonts w:ascii="Times New Roman" w:hAnsi="Times New Roman" w:cs="Times New Roman"/>
          <w:sz w:val="24"/>
          <w:szCs w:val="24"/>
        </w:rPr>
        <w:t>..)</w:t>
      </w:r>
      <w:proofErr w:type="gramEnd"/>
      <w:r w:rsidR="003A36BE" w:rsidRPr="00C53B5D">
        <w:rPr>
          <w:rFonts w:ascii="Times New Roman" w:hAnsi="Times New Roman" w:cs="Times New Roman"/>
          <w:sz w:val="24"/>
          <w:szCs w:val="24"/>
        </w:rPr>
        <w:t xml:space="preserve"> ¿Educar para qué trabajo? : discutiendo rumbos en América Latina, </w:t>
      </w:r>
      <w:proofErr w:type="spellStart"/>
      <w:r w:rsidR="003A36BE" w:rsidRPr="00C53B5D">
        <w:rPr>
          <w:rFonts w:ascii="Times New Roman" w:hAnsi="Times New Roman" w:cs="Times New Roman"/>
          <w:sz w:val="24"/>
          <w:szCs w:val="24"/>
        </w:rPr>
        <w:t>redEtis</w:t>
      </w:r>
      <w:proofErr w:type="spellEnd"/>
      <w:r w:rsidR="003A36BE" w:rsidRPr="00C53B5D">
        <w:rPr>
          <w:rFonts w:ascii="Times New Roman" w:hAnsi="Times New Roman" w:cs="Times New Roman"/>
          <w:sz w:val="24"/>
          <w:szCs w:val="24"/>
        </w:rPr>
        <w:t xml:space="preserve"> (IIPE-IDES), </w:t>
      </w:r>
      <w:proofErr w:type="spellStart"/>
      <w:r w:rsidR="003A36BE" w:rsidRPr="00C53B5D">
        <w:rPr>
          <w:rFonts w:ascii="Times New Roman" w:hAnsi="Times New Roman" w:cs="Times New Roman"/>
          <w:sz w:val="24"/>
          <w:szCs w:val="24"/>
        </w:rPr>
        <w:t>Mtcyt</w:t>
      </w:r>
      <w:proofErr w:type="spellEnd"/>
      <w:r w:rsidR="003A36BE" w:rsidRPr="00C53B5D">
        <w:rPr>
          <w:rFonts w:ascii="Times New Roman" w:hAnsi="Times New Roman" w:cs="Times New Roman"/>
          <w:sz w:val="24"/>
          <w:szCs w:val="24"/>
        </w:rPr>
        <w:t xml:space="preserve">, </w:t>
      </w:r>
      <w:proofErr w:type="spellStart"/>
      <w:r w:rsidR="003A36BE" w:rsidRPr="00C53B5D">
        <w:rPr>
          <w:rFonts w:ascii="Times New Roman" w:hAnsi="Times New Roman" w:cs="Times New Roman"/>
          <w:sz w:val="24"/>
          <w:szCs w:val="24"/>
        </w:rPr>
        <w:t>Mteyss</w:t>
      </w:r>
      <w:proofErr w:type="spellEnd"/>
      <w:r w:rsidR="003A36BE" w:rsidRPr="00C53B5D">
        <w:rPr>
          <w:rFonts w:ascii="Times New Roman" w:hAnsi="Times New Roman" w:cs="Times New Roman"/>
          <w:sz w:val="24"/>
          <w:szCs w:val="24"/>
        </w:rPr>
        <w:t>, La Crujía, Buenos Aires.</w:t>
      </w:r>
    </w:p>
    <w:p w:rsidR="003E3AC7"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C53B5D">
        <w:rPr>
          <w:rFonts w:ascii="Times New Roman" w:hAnsi="Times New Roman" w:cs="Times New Roman"/>
          <w:sz w:val="24"/>
          <w:szCs w:val="24"/>
        </w:rPr>
        <w:t xml:space="preserve">Jacinto C., </w:t>
      </w:r>
      <w:proofErr w:type="spellStart"/>
      <w:r w:rsidRPr="00C53B5D">
        <w:rPr>
          <w:rFonts w:ascii="Times New Roman" w:hAnsi="Times New Roman" w:cs="Times New Roman"/>
          <w:sz w:val="24"/>
          <w:szCs w:val="24"/>
        </w:rPr>
        <w:t>Chitarroni</w:t>
      </w:r>
      <w:proofErr w:type="spellEnd"/>
      <w:r w:rsidRPr="00C53B5D">
        <w:rPr>
          <w:rFonts w:ascii="Times New Roman" w:hAnsi="Times New Roman" w:cs="Times New Roman"/>
          <w:sz w:val="24"/>
          <w:szCs w:val="24"/>
        </w:rPr>
        <w:t xml:space="preserve"> H., (2009). Precariedades, rotación y acumulación en las t</w:t>
      </w:r>
      <w:r w:rsidR="003E3AC7">
        <w:rPr>
          <w:rFonts w:ascii="Times New Roman" w:hAnsi="Times New Roman" w:cs="Times New Roman"/>
          <w:sz w:val="24"/>
          <w:szCs w:val="24"/>
        </w:rPr>
        <w:t>rayectorias laborales juveniles, e</w:t>
      </w:r>
      <w:r w:rsidRPr="00C53B5D">
        <w:rPr>
          <w:rFonts w:ascii="Times New Roman" w:hAnsi="Times New Roman" w:cs="Times New Roman"/>
          <w:sz w:val="24"/>
          <w:szCs w:val="24"/>
        </w:rPr>
        <w:t>n 9 ° Congreso Nacional de Estudios del Trabajo, Asociación Argentina de Especialistas en Estudios del Trabajo, Buenos Aires, 5-7 de agosto de 2009.</w:t>
      </w:r>
    </w:p>
    <w:p w:rsidR="003A36BE" w:rsidRPr="003E3AC7" w:rsidRDefault="003A36BE" w:rsidP="003E3AC7">
      <w:pPr>
        <w:pStyle w:val="Prrafodelista"/>
        <w:numPr>
          <w:ilvl w:val="0"/>
          <w:numId w:val="15"/>
        </w:numPr>
        <w:tabs>
          <w:tab w:val="left" w:pos="3583"/>
        </w:tabs>
        <w:spacing w:after="120" w:line="240" w:lineRule="auto"/>
        <w:ind w:left="360"/>
        <w:jc w:val="both"/>
        <w:rPr>
          <w:rFonts w:ascii="Times New Roman" w:hAnsi="Times New Roman" w:cs="Times New Roman"/>
          <w:sz w:val="24"/>
          <w:szCs w:val="24"/>
          <w:lang w:val="en-US"/>
        </w:rPr>
      </w:pPr>
      <w:r w:rsidRPr="00322CF2">
        <w:rPr>
          <w:rFonts w:ascii="Times New Roman" w:hAnsi="Times New Roman" w:cs="Times New Roman"/>
          <w:sz w:val="24"/>
          <w:szCs w:val="24"/>
          <w:lang w:val="en-US"/>
        </w:rPr>
        <w:t xml:space="preserve">Johnson, W. (1978). </w:t>
      </w:r>
      <w:r w:rsidRPr="003E3AC7">
        <w:rPr>
          <w:rFonts w:ascii="Times New Roman" w:hAnsi="Times New Roman" w:cs="Times New Roman"/>
          <w:sz w:val="24"/>
          <w:szCs w:val="24"/>
          <w:lang w:val="en-US"/>
        </w:rPr>
        <w:t>A Theory of Job Shopping. The Quarterly Journal of Economics.</w:t>
      </w:r>
      <w:r w:rsidR="003E3AC7">
        <w:rPr>
          <w:rFonts w:ascii="Times New Roman" w:hAnsi="Times New Roman" w:cs="Times New Roman"/>
          <w:sz w:val="24"/>
          <w:szCs w:val="24"/>
          <w:lang w:val="en-US"/>
        </w:rPr>
        <w:t xml:space="preserve"> (</w:t>
      </w:r>
      <w:r w:rsidR="003E3AC7" w:rsidRPr="003E3AC7">
        <w:rPr>
          <w:rFonts w:ascii="Times New Roman" w:hAnsi="Times New Roman" w:cs="Times New Roman"/>
          <w:sz w:val="24"/>
          <w:szCs w:val="24"/>
          <w:lang w:val="en-US"/>
        </w:rPr>
        <w:t>pp</w:t>
      </w:r>
      <w:r w:rsidR="003E3AC7">
        <w:rPr>
          <w:rFonts w:ascii="Times New Roman" w:hAnsi="Times New Roman" w:cs="Times New Roman"/>
          <w:sz w:val="24"/>
          <w:szCs w:val="24"/>
          <w:lang w:val="en-US"/>
        </w:rPr>
        <w:t xml:space="preserve"> 261-78) </w:t>
      </w:r>
      <w:r w:rsidRPr="003E3AC7">
        <w:rPr>
          <w:rFonts w:ascii="Times New Roman" w:hAnsi="Times New Roman" w:cs="Times New Roman"/>
          <w:sz w:val="24"/>
          <w:szCs w:val="24"/>
          <w:lang w:val="en-US"/>
        </w:rPr>
        <w:t xml:space="preserve">MIT Press, vol. 92(2), </w:t>
      </w:r>
      <w:proofErr w:type="spellStart"/>
      <w:r w:rsidRPr="003E3AC7">
        <w:rPr>
          <w:rFonts w:ascii="Times New Roman" w:hAnsi="Times New Roman" w:cs="Times New Roman"/>
          <w:sz w:val="24"/>
          <w:szCs w:val="24"/>
          <w:lang w:val="en-US"/>
        </w:rPr>
        <w:t>Jovanovic</w:t>
      </w:r>
      <w:proofErr w:type="spellEnd"/>
      <w:r w:rsidRPr="003E3AC7">
        <w:rPr>
          <w:rFonts w:ascii="Times New Roman" w:hAnsi="Times New Roman" w:cs="Times New Roman"/>
          <w:sz w:val="24"/>
          <w:szCs w:val="24"/>
          <w:lang w:val="en-US"/>
        </w:rPr>
        <w:t xml:space="preserve">, B. (1979). Job-matching and the Theory of Turnover, Journal of Political Economy, N° 87: 972-990. </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C53B5D">
        <w:rPr>
          <w:rFonts w:ascii="Times New Roman" w:hAnsi="Times New Roman" w:cs="Times New Roman"/>
          <w:sz w:val="24"/>
          <w:szCs w:val="24"/>
        </w:rPr>
        <w:t xml:space="preserve">Llach, J. y </w:t>
      </w:r>
      <w:proofErr w:type="spellStart"/>
      <w:r w:rsidRPr="00C53B5D">
        <w:rPr>
          <w:rFonts w:ascii="Times New Roman" w:hAnsi="Times New Roman" w:cs="Times New Roman"/>
          <w:sz w:val="24"/>
          <w:szCs w:val="24"/>
        </w:rPr>
        <w:t>Kritz</w:t>
      </w:r>
      <w:proofErr w:type="spellEnd"/>
      <w:r w:rsidRPr="00C53B5D">
        <w:rPr>
          <w:rFonts w:ascii="Times New Roman" w:hAnsi="Times New Roman" w:cs="Times New Roman"/>
          <w:sz w:val="24"/>
          <w:szCs w:val="24"/>
        </w:rPr>
        <w:t>, E (1997)</w:t>
      </w:r>
      <w:proofErr w:type="gramStart"/>
      <w:r w:rsidRPr="00C53B5D">
        <w:rPr>
          <w:rFonts w:ascii="Times New Roman" w:hAnsi="Times New Roman" w:cs="Times New Roman"/>
          <w:sz w:val="24"/>
          <w:szCs w:val="24"/>
        </w:rPr>
        <w:t>.:</w:t>
      </w:r>
      <w:proofErr w:type="gramEnd"/>
      <w:r w:rsidRPr="00C53B5D">
        <w:rPr>
          <w:rFonts w:ascii="Times New Roman" w:hAnsi="Times New Roman" w:cs="Times New Roman"/>
          <w:sz w:val="24"/>
          <w:szCs w:val="24"/>
        </w:rPr>
        <w:t xml:space="preserve"> Un trabajo para todos. Empleo y desempleo en la Argentina, Consejo Empresario Argentino</w:t>
      </w:r>
      <w:r w:rsidR="003E3AC7">
        <w:rPr>
          <w:rFonts w:ascii="Times New Roman" w:hAnsi="Times New Roman" w:cs="Times New Roman"/>
          <w:sz w:val="24"/>
          <w:szCs w:val="24"/>
        </w:rPr>
        <w:t>.</w:t>
      </w:r>
    </w:p>
    <w:p w:rsidR="003A36BE" w:rsidRDefault="003E3AC7"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Longo J. y </w:t>
      </w:r>
      <w:proofErr w:type="spellStart"/>
      <w:r>
        <w:rPr>
          <w:rFonts w:ascii="Times New Roman" w:hAnsi="Times New Roman" w:cs="Times New Roman"/>
          <w:sz w:val="24"/>
          <w:szCs w:val="24"/>
        </w:rPr>
        <w:t>Adamini</w:t>
      </w:r>
      <w:proofErr w:type="spellEnd"/>
      <w:r>
        <w:rPr>
          <w:rFonts w:ascii="Times New Roman" w:hAnsi="Times New Roman" w:cs="Times New Roman"/>
          <w:sz w:val="24"/>
          <w:szCs w:val="24"/>
        </w:rPr>
        <w:t xml:space="preserve"> M</w:t>
      </w:r>
      <w:proofErr w:type="gramStart"/>
      <w:r>
        <w:rPr>
          <w:rFonts w:ascii="Times New Roman" w:hAnsi="Times New Roman" w:cs="Times New Roman"/>
          <w:sz w:val="24"/>
          <w:szCs w:val="24"/>
        </w:rPr>
        <w:t>.</w:t>
      </w:r>
      <w:r w:rsidR="003A0054">
        <w:rPr>
          <w:rFonts w:ascii="Times New Roman" w:hAnsi="Times New Roman" w:cs="Times New Roman"/>
          <w:sz w:val="24"/>
          <w:szCs w:val="24"/>
        </w:rPr>
        <w:t>(</w:t>
      </w:r>
      <w:proofErr w:type="gramEnd"/>
      <w:r w:rsidR="003A0054">
        <w:rPr>
          <w:rFonts w:ascii="Times New Roman" w:hAnsi="Times New Roman" w:cs="Times New Roman"/>
          <w:sz w:val="24"/>
          <w:szCs w:val="24"/>
        </w:rPr>
        <w:t>2013)</w:t>
      </w:r>
      <w:r>
        <w:rPr>
          <w:rFonts w:ascii="Times New Roman" w:hAnsi="Times New Roman" w:cs="Times New Roman"/>
          <w:sz w:val="24"/>
          <w:szCs w:val="24"/>
        </w:rPr>
        <w:t xml:space="preserve">: </w:t>
      </w:r>
      <w:r w:rsidR="003A36BE" w:rsidRPr="00C53B5D">
        <w:rPr>
          <w:rFonts w:ascii="Times New Roman" w:hAnsi="Times New Roman" w:cs="Times New Roman"/>
          <w:sz w:val="24"/>
          <w:szCs w:val="24"/>
        </w:rPr>
        <w:t xml:space="preserve">Los jóvenes trabajadores en la década </w:t>
      </w:r>
      <w:proofErr w:type="spellStart"/>
      <w:r w:rsidR="003A36BE" w:rsidRPr="00C53B5D">
        <w:rPr>
          <w:rFonts w:ascii="Times New Roman" w:hAnsi="Times New Roman" w:cs="Times New Roman"/>
          <w:sz w:val="24"/>
          <w:szCs w:val="24"/>
        </w:rPr>
        <w:t>kirchnerista</w:t>
      </w:r>
      <w:proofErr w:type="spellEnd"/>
      <w:r w:rsidR="003A36BE" w:rsidRPr="00C53B5D">
        <w:rPr>
          <w:rFonts w:ascii="Times New Roman" w:hAnsi="Times New Roman" w:cs="Times New Roman"/>
          <w:sz w:val="24"/>
          <w:szCs w:val="24"/>
        </w:rPr>
        <w:t xml:space="preserve">: ¿una nueva generación? Una revisión de los estudios sobre jóvenes, mercado de trabajo y </w:t>
      </w:r>
      <w:r>
        <w:rPr>
          <w:rFonts w:ascii="Times New Roman" w:hAnsi="Times New Roman" w:cs="Times New Roman"/>
          <w:sz w:val="24"/>
          <w:szCs w:val="24"/>
        </w:rPr>
        <w:t xml:space="preserve">conflictividad en la Argentina. Presentado en el </w:t>
      </w:r>
      <w:r w:rsidR="003A36BE" w:rsidRPr="00C53B5D">
        <w:rPr>
          <w:rFonts w:ascii="Times New Roman" w:hAnsi="Times New Roman" w:cs="Times New Roman"/>
          <w:sz w:val="24"/>
          <w:szCs w:val="24"/>
        </w:rPr>
        <w:t>12° Congreso Nacional de Estudios del Trabajo</w:t>
      </w:r>
      <w:r w:rsidR="003A36BE">
        <w:rPr>
          <w:rFonts w:ascii="Times New Roman" w:hAnsi="Times New Roman" w:cs="Times New Roman"/>
          <w:sz w:val="24"/>
          <w:szCs w:val="24"/>
        </w:rPr>
        <w:t xml:space="preserve">. </w:t>
      </w:r>
      <w:r>
        <w:rPr>
          <w:rFonts w:ascii="Times New Roman" w:hAnsi="Times New Roman" w:cs="Times New Roman"/>
          <w:sz w:val="24"/>
          <w:szCs w:val="24"/>
        </w:rPr>
        <w:t xml:space="preserve">Buenos Aires, Argentina. </w:t>
      </w:r>
    </w:p>
    <w:p w:rsidR="003A36BE" w:rsidRPr="002F3B01"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2F3B01">
        <w:rPr>
          <w:rFonts w:ascii="Times New Roman" w:hAnsi="Times New Roman" w:cs="Times New Roman"/>
          <w:sz w:val="24"/>
          <w:szCs w:val="24"/>
        </w:rPr>
        <w:t xml:space="preserve">Lo </w:t>
      </w:r>
      <w:proofErr w:type="spellStart"/>
      <w:r w:rsidRPr="002F3B01">
        <w:rPr>
          <w:rFonts w:ascii="Times New Roman" w:hAnsi="Times New Roman" w:cs="Times New Roman"/>
          <w:sz w:val="24"/>
          <w:szCs w:val="24"/>
        </w:rPr>
        <w:t>Vuolo</w:t>
      </w:r>
      <w:proofErr w:type="spellEnd"/>
      <w:r>
        <w:rPr>
          <w:rFonts w:ascii="Times New Roman" w:hAnsi="Times New Roman" w:cs="Times New Roman"/>
          <w:sz w:val="24"/>
          <w:szCs w:val="24"/>
        </w:rPr>
        <w:t>, R</w:t>
      </w:r>
      <w:r w:rsidRPr="002F3B01">
        <w:rPr>
          <w:rFonts w:ascii="Times New Roman" w:hAnsi="Times New Roman" w:cs="Times New Roman"/>
          <w:sz w:val="24"/>
          <w:szCs w:val="24"/>
        </w:rPr>
        <w:t xml:space="preserve">; </w:t>
      </w:r>
      <w:proofErr w:type="spellStart"/>
      <w:r w:rsidRPr="002F3B01">
        <w:rPr>
          <w:rFonts w:ascii="Times New Roman" w:hAnsi="Times New Roman" w:cs="Times New Roman"/>
          <w:sz w:val="24"/>
          <w:szCs w:val="24"/>
        </w:rPr>
        <w:t>Barbeito</w:t>
      </w:r>
      <w:proofErr w:type="spellEnd"/>
      <w:r>
        <w:rPr>
          <w:rFonts w:ascii="Times New Roman" w:hAnsi="Times New Roman" w:cs="Times New Roman"/>
          <w:sz w:val="24"/>
          <w:szCs w:val="24"/>
        </w:rPr>
        <w:t>, A</w:t>
      </w:r>
      <w:r w:rsidRPr="002F3B01">
        <w:rPr>
          <w:rFonts w:ascii="Times New Roman" w:hAnsi="Times New Roman" w:cs="Times New Roman"/>
          <w:sz w:val="24"/>
          <w:szCs w:val="24"/>
        </w:rPr>
        <w:t xml:space="preserve"> </w:t>
      </w:r>
      <w:r w:rsidRPr="002E0BA1">
        <w:rPr>
          <w:rFonts w:ascii="Times New Roman" w:hAnsi="Times New Roman" w:cs="Times New Roman"/>
          <w:sz w:val="24"/>
          <w:szCs w:val="24"/>
        </w:rPr>
        <w:t xml:space="preserve">(1992). La </w:t>
      </w:r>
      <w:proofErr w:type="spellStart"/>
      <w:r w:rsidRPr="002E0BA1">
        <w:rPr>
          <w:rFonts w:ascii="Times New Roman" w:hAnsi="Times New Roman" w:cs="Times New Roman"/>
          <w:sz w:val="24"/>
          <w:szCs w:val="24"/>
        </w:rPr>
        <w:t>modernización</w:t>
      </w:r>
      <w:proofErr w:type="spellEnd"/>
      <w:r w:rsidRPr="002E0BA1">
        <w:rPr>
          <w:rFonts w:ascii="Times New Roman" w:hAnsi="Times New Roman" w:cs="Times New Roman"/>
          <w:sz w:val="24"/>
          <w:szCs w:val="24"/>
        </w:rPr>
        <w:t xml:space="preserve"> excluyente: </w:t>
      </w:r>
      <w:proofErr w:type="spellStart"/>
      <w:r w:rsidRPr="002E0BA1">
        <w:rPr>
          <w:rFonts w:ascii="Times New Roman" w:hAnsi="Times New Roman" w:cs="Times New Roman"/>
          <w:sz w:val="24"/>
          <w:szCs w:val="24"/>
        </w:rPr>
        <w:t>Transformación</w:t>
      </w:r>
      <w:proofErr w:type="spellEnd"/>
      <w:r w:rsidRPr="002E0BA1">
        <w:rPr>
          <w:rFonts w:ascii="Times New Roman" w:hAnsi="Times New Roman" w:cs="Times New Roman"/>
          <w:sz w:val="24"/>
          <w:szCs w:val="24"/>
        </w:rPr>
        <w:t xml:space="preserve"> </w:t>
      </w:r>
      <w:proofErr w:type="spellStart"/>
      <w:r w:rsidRPr="002E0BA1">
        <w:rPr>
          <w:rFonts w:ascii="Times New Roman" w:hAnsi="Times New Roman" w:cs="Times New Roman"/>
          <w:sz w:val="24"/>
          <w:szCs w:val="24"/>
        </w:rPr>
        <w:t>económica</w:t>
      </w:r>
      <w:proofErr w:type="spellEnd"/>
      <w:r w:rsidRPr="002E0BA1">
        <w:rPr>
          <w:rFonts w:ascii="Times New Roman" w:hAnsi="Times New Roman" w:cs="Times New Roman"/>
          <w:sz w:val="24"/>
          <w:szCs w:val="24"/>
        </w:rPr>
        <w:t xml:space="preserve"> y estado de bienestar en Argentina. Buenos Aires: UNICEF.</w:t>
      </w:r>
    </w:p>
    <w:p w:rsidR="003A36BE" w:rsidRPr="0007300C" w:rsidRDefault="003A0054"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_____________________</w:t>
      </w:r>
      <w:r w:rsidR="003A36BE" w:rsidRPr="002F3B01">
        <w:rPr>
          <w:rFonts w:ascii="Times New Roman" w:hAnsi="Times New Roman" w:cs="Times New Roman"/>
          <w:sz w:val="24"/>
          <w:szCs w:val="24"/>
        </w:rPr>
        <w:t xml:space="preserve"> (1998). La nueva oscuridad de la política social. Del Estado populista al Neoconservador. </w:t>
      </w:r>
      <w:r>
        <w:rPr>
          <w:rFonts w:ascii="Times New Roman" w:hAnsi="Times New Roman" w:cs="Times New Roman"/>
          <w:sz w:val="24"/>
          <w:szCs w:val="24"/>
        </w:rPr>
        <w:t xml:space="preserve">Buenos Aires: </w:t>
      </w:r>
      <w:r w:rsidR="003A36BE" w:rsidRPr="002F3B01">
        <w:rPr>
          <w:rFonts w:ascii="Times New Roman" w:hAnsi="Times New Roman" w:cs="Times New Roman"/>
          <w:sz w:val="24"/>
          <w:szCs w:val="24"/>
        </w:rPr>
        <w:t xml:space="preserve">CIEPP – Miño Dávila editores. </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C53B5D">
        <w:rPr>
          <w:rFonts w:ascii="Times New Roman" w:hAnsi="Times New Roman" w:cs="Times New Roman"/>
          <w:sz w:val="24"/>
          <w:szCs w:val="24"/>
        </w:rPr>
        <w:t>Maurizio</w:t>
      </w:r>
      <w:proofErr w:type="spellEnd"/>
      <w:r w:rsidRPr="00C53B5D">
        <w:rPr>
          <w:rFonts w:ascii="Times New Roman" w:hAnsi="Times New Roman" w:cs="Times New Roman"/>
          <w:sz w:val="24"/>
          <w:szCs w:val="24"/>
        </w:rPr>
        <w:t>, R</w:t>
      </w:r>
      <w:r w:rsidR="003A0054">
        <w:rPr>
          <w:rFonts w:ascii="Times New Roman" w:hAnsi="Times New Roman" w:cs="Times New Roman"/>
          <w:sz w:val="24"/>
          <w:szCs w:val="24"/>
        </w:rPr>
        <w:t>.</w:t>
      </w:r>
      <w:r w:rsidRPr="00C53B5D">
        <w:rPr>
          <w:rFonts w:ascii="Times New Roman" w:hAnsi="Times New Roman" w:cs="Times New Roman"/>
          <w:sz w:val="24"/>
          <w:szCs w:val="24"/>
        </w:rPr>
        <w:t xml:space="preserve"> (2011) </w:t>
      </w:r>
      <w:r w:rsidRPr="00084C3F">
        <w:rPr>
          <w:rFonts w:ascii="Times New Roman" w:hAnsi="Times New Roman" w:cs="Times New Roman"/>
          <w:sz w:val="24"/>
          <w:szCs w:val="24"/>
        </w:rPr>
        <w:t>Inestabilidad en el mercado de trabajo. Un análisis dinámico para Argentina</w:t>
      </w:r>
      <w:r w:rsidR="003A0054">
        <w:rPr>
          <w:rFonts w:ascii="Times New Roman" w:hAnsi="Times New Roman" w:cs="Times New Roman"/>
          <w:sz w:val="24"/>
          <w:szCs w:val="24"/>
        </w:rPr>
        <w:t>.</w:t>
      </w:r>
      <w:r w:rsidRPr="00C53B5D">
        <w:rPr>
          <w:rFonts w:ascii="Times New Roman" w:hAnsi="Times New Roman" w:cs="Times New Roman"/>
          <w:sz w:val="24"/>
          <w:szCs w:val="24"/>
        </w:rPr>
        <w:t xml:space="preserve"> </w:t>
      </w:r>
      <w:r w:rsidRPr="00084C3F">
        <w:rPr>
          <w:rFonts w:ascii="Times New Roman" w:hAnsi="Times New Roman" w:cs="Times New Roman"/>
          <w:sz w:val="24"/>
          <w:szCs w:val="24"/>
        </w:rPr>
        <w:t>Editorial de la Universidad de La Plata</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C53B5D">
        <w:rPr>
          <w:rFonts w:ascii="Times New Roman" w:hAnsi="Times New Roman" w:cs="Times New Roman"/>
          <w:sz w:val="24"/>
          <w:szCs w:val="24"/>
        </w:rPr>
        <w:t>Maurizio</w:t>
      </w:r>
      <w:proofErr w:type="spellEnd"/>
      <w:r w:rsidRPr="00C53B5D">
        <w:rPr>
          <w:rFonts w:ascii="Times New Roman" w:hAnsi="Times New Roman" w:cs="Times New Roman"/>
          <w:sz w:val="24"/>
          <w:szCs w:val="24"/>
        </w:rPr>
        <w:t>, R. (2011). Trayectorias laborales de los jóvenes en Argentina: ¿Dificultades en el mercado de trabajo o carrera laboral ascendente</w:t>
      </w:r>
      <w:proofErr w:type="gramStart"/>
      <w:r w:rsidRPr="00C53B5D">
        <w:rPr>
          <w:rFonts w:ascii="Times New Roman" w:hAnsi="Times New Roman" w:cs="Times New Roman"/>
          <w:sz w:val="24"/>
          <w:szCs w:val="24"/>
        </w:rPr>
        <w:t>?.</w:t>
      </w:r>
      <w:proofErr w:type="gramEnd"/>
      <w:r w:rsidRPr="00C53B5D">
        <w:rPr>
          <w:rFonts w:ascii="Times New Roman" w:hAnsi="Times New Roman" w:cs="Times New Roman"/>
          <w:sz w:val="24"/>
          <w:szCs w:val="24"/>
        </w:rPr>
        <w:t xml:space="preserve"> Serie Macroeconomía y Desarrollo, 109. Santiago: CEPAL.</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D33C5D">
        <w:rPr>
          <w:rFonts w:ascii="Times New Roman" w:hAnsi="Times New Roman" w:cs="Times New Roman"/>
          <w:sz w:val="24"/>
          <w:szCs w:val="24"/>
        </w:rPr>
        <w:t>Ministerio de Trabajo Empleo y Seguridad Social (2002) Libro blanco de la Previsión Social, Secretaría de Seguridad Social, Buenos Aires</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C53B5D">
        <w:rPr>
          <w:rFonts w:ascii="Times New Roman" w:hAnsi="Times New Roman" w:cs="Times New Roman"/>
          <w:sz w:val="24"/>
          <w:szCs w:val="24"/>
        </w:rPr>
        <w:t xml:space="preserve">Miranda A, Otero A y </w:t>
      </w:r>
      <w:proofErr w:type="spellStart"/>
      <w:r w:rsidRPr="00C53B5D">
        <w:rPr>
          <w:rFonts w:ascii="Times New Roman" w:hAnsi="Times New Roman" w:cs="Times New Roman"/>
          <w:sz w:val="24"/>
          <w:szCs w:val="24"/>
        </w:rPr>
        <w:t>Zelarayan</w:t>
      </w:r>
      <w:proofErr w:type="spellEnd"/>
      <w:r w:rsidRPr="00C53B5D">
        <w:rPr>
          <w:rFonts w:ascii="Times New Roman" w:hAnsi="Times New Roman" w:cs="Times New Roman"/>
          <w:sz w:val="24"/>
          <w:szCs w:val="24"/>
        </w:rPr>
        <w:t xml:space="preserve"> J (2005) Distribución de la Educación y desigualdad en el empleo: los jóvene</w:t>
      </w:r>
      <w:r w:rsidR="003A0054">
        <w:rPr>
          <w:rFonts w:ascii="Times New Roman" w:hAnsi="Times New Roman" w:cs="Times New Roman"/>
          <w:sz w:val="24"/>
          <w:szCs w:val="24"/>
        </w:rPr>
        <w:t>s en la Argentina contemporánea. Presentado en 7°</w:t>
      </w:r>
      <w:r w:rsidRPr="00C53B5D">
        <w:rPr>
          <w:rFonts w:ascii="Times New Roman" w:hAnsi="Times New Roman" w:cs="Times New Roman"/>
          <w:sz w:val="24"/>
          <w:szCs w:val="24"/>
        </w:rPr>
        <w:t xml:space="preserve"> Congreso Nacional de Estudios del Trabajo. </w:t>
      </w:r>
      <w:r w:rsidR="003A0054">
        <w:rPr>
          <w:rFonts w:ascii="Times New Roman" w:hAnsi="Times New Roman" w:cs="Times New Roman"/>
          <w:sz w:val="24"/>
          <w:szCs w:val="24"/>
        </w:rPr>
        <w:t xml:space="preserve">Buenos Aires: </w:t>
      </w:r>
      <w:r w:rsidRPr="00C53B5D">
        <w:rPr>
          <w:rFonts w:ascii="Times New Roman" w:hAnsi="Times New Roman" w:cs="Times New Roman"/>
          <w:sz w:val="24"/>
          <w:szCs w:val="24"/>
        </w:rPr>
        <w:t>ASET. Asociación Argentina de Especialistas en Estudios del Trabajo.</w:t>
      </w:r>
    </w:p>
    <w:p w:rsidR="003A36BE" w:rsidRDefault="003A0054"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Monza</w:t>
      </w:r>
      <w:proofErr w:type="spellEnd"/>
      <w:r>
        <w:rPr>
          <w:rFonts w:ascii="Times New Roman" w:hAnsi="Times New Roman" w:cs="Times New Roman"/>
          <w:sz w:val="24"/>
          <w:szCs w:val="24"/>
        </w:rPr>
        <w:t xml:space="preserve">, A. (2002), </w:t>
      </w:r>
      <w:r w:rsidR="003A36BE" w:rsidRPr="007742D0">
        <w:rPr>
          <w:rFonts w:ascii="Times New Roman" w:hAnsi="Times New Roman" w:cs="Times New Roman"/>
          <w:sz w:val="24"/>
          <w:szCs w:val="24"/>
        </w:rPr>
        <w:t>Enfrentando los retos al trabajo</w:t>
      </w:r>
      <w:r>
        <w:rPr>
          <w:rFonts w:ascii="Times New Roman" w:hAnsi="Times New Roman" w:cs="Times New Roman"/>
          <w:sz w:val="24"/>
          <w:szCs w:val="24"/>
        </w:rPr>
        <w:t xml:space="preserve"> decente en la crisis argentina</w:t>
      </w:r>
      <w:r w:rsidR="003A36BE" w:rsidRPr="007742D0">
        <w:rPr>
          <w:rFonts w:ascii="Times New Roman" w:hAnsi="Times New Roman" w:cs="Times New Roman"/>
          <w:sz w:val="24"/>
          <w:szCs w:val="24"/>
        </w:rPr>
        <w:t>, Conferencia Nacional Tripartita sobre el Empleo en Argentina, Proyecto OIT-</w:t>
      </w:r>
      <w:proofErr w:type="spellStart"/>
      <w:r w:rsidR="003A36BE" w:rsidRPr="007742D0">
        <w:rPr>
          <w:rFonts w:ascii="Times New Roman" w:hAnsi="Times New Roman" w:cs="Times New Roman"/>
          <w:sz w:val="24"/>
          <w:szCs w:val="24"/>
        </w:rPr>
        <w:t>MTEySS</w:t>
      </w:r>
      <w:proofErr w:type="spellEnd"/>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2F3B01">
        <w:rPr>
          <w:rFonts w:ascii="Times New Roman" w:hAnsi="Times New Roman" w:cs="Times New Roman"/>
          <w:sz w:val="24"/>
          <w:szCs w:val="24"/>
        </w:rPr>
        <w:t>Neffa</w:t>
      </w:r>
      <w:proofErr w:type="spellEnd"/>
      <w:r w:rsidRPr="002F3B01">
        <w:rPr>
          <w:rFonts w:ascii="Times New Roman" w:hAnsi="Times New Roman" w:cs="Times New Roman"/>
          <w:sz w:val="24"/>
          <w:szCs w:val="24"/>
        </w:rPr>
        <w:t xml:space="preserve">, J.C. y </w:t>
      </w:r>
      <w:proofErr w:type="spellStart"/>
      <w:r w:rsidRPr="002F3B01">
        <w:rPr>
          <w:rFonts w:ascii="Times New Roman" w:hAnsi="Times New Roman" w:cs="Times New Roman"/>
          <w:sz w:val="24"/>
          <w:szCs w:val="24"/>
        </w:rPr>
        <w:t>Panigo</w:t>
      </w:r>
      <w:proofErr w:type="spellEnd"/>
      <w:r w:rsidRPr="002F3B01">
        <w:rPr>
          <w:rFonts w:ascii="Times New Roman" w:hAnsi="Times New Roman" w:cs="Times New Roman"/>
          <w:sz w:val="24"/>
          <w:szCs w:val="24"/>
        </w:rPr>
        <w:t>, D. (2009). El mercado de trabajo argentino en</w:t>
      </w:r>
      <w:r w:rsidR="003A0054">
        <w:rPr>
          <w:rFonts w:ascii="Times New Roman" w:hAnsi="Times New Roman" w:cs="Times New Roman"/>
          <w:sz w:val="24"/>
          <w:szCs w:val="24"/>
        </w:rPr>
        <w:t xml:space="preserve"> el nuevo modelo de desarrollo. </w:t>
      </w:r>
      <w:r w:rsidRPr="002F3B01">
        <w:rPr>
          <w:rFonts w:ascii="Times New Roman" w:hAnsi="Times New Roman" w:cs="Times New Roman"/>
          <w:sz w:val="24"/>
          <w:szCs w:val="24"/>
        </w:rPr>
        <w:t>Documento de Trabajo, Dirección Nacional de Programación Macroeconómica/ Dirección de Modelos y Proyecciones, Ministerio de Economía y Finanzas Públicas</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126F1F">
        <w:rPr>
          <w:rFonts w:ascii="Times New Roman" w:hAnsi="Times New Roman" w:cs="Times New Roman"/>
          <w:sz w:val="24"/>
          <w:szCs w:val="24"/>
        </w:rPr>
        <w:t>Neffa</w:t>
      </w:r>
      <w:proofErr w:type="spellEnd"/>
      <w:r w:rsidR="003A0054">
        <w:rPr>
          <w:rFonts w:ascii="Times New Roman" w:hAnsi="Times New Roman" w:cs="Times New Roman"/>
          <w:sz w:val="24"/>
          <w:szCs w:val="24"/>
        </w:rPr>
        <w:t xml:space="preserve"> J.C., (2012) </w:t>
      </w:r>
      <w:r w:rsidRPr="00126F1F">
        <w:rPr>
          <w:rFonts w:ascii="Times New Roman" w:hAnsi="Times New Roman" w:cs="Times New Roman"/>
          <w:sz w:val="24"/>
          <w:szCs w:val="24"/>
        </w:rPr>
        <w:t>La evolución de la relación salarial durante la post convertibilidad, </w:t>
      </w:r>
      <w:proofErr w:type="spellStart"/>
      <w:r w:rsidRPr="00126F1F">
        <w:rPr>
          <w:rFonts w:ascii="Times New Roman" w:hAnsi="Times New Roman" w:cs="Times New Roman"/>
          <w:sz w:val="24"/>
          <w:szCs w:val="24"/>
        </w:rPr>
        <w:t>Revue</w:t>
      </w:r>
      <w:proofErr w:type="spellEnd"/>
      <w:r w:rsidRPr="00126F1F">
        <w:rPr>
          <w:rFonts w:ascii="Times New Roman" w:hAnsi="Times New Roman" w:cs="Times New Roman"/>
          <w:sz w:val="24"/>
          <w:szCs w:val="24"/>
        </w:rPr>
        <w:t xml:space="preserve"> de la </w:t>
      </w:r>
      <w:proofErr w:type="spellStart"/>
      <w:r w:rsidRPr="00126F1F">
        <w:rPr>
          <w:rFonts w:ascii="Times New Roman" w:hAnsi="Times New Roman" w:cs="Times New Roman"/>
          <w:sz w:val="24"/>
          <w:szCs w:val="24"/>
        </w:rPr>
        <w:t>régulation</w:t>
      </w:r>
      <w:proofErr w:type="spellEnd"/>
      <w:r w:rsidRPr="00126F1F">
        <w:rPr>
          <w:rFonts w:ascii="Times New Roman" w:hAnsi="Times New Roman" w:cs="Times New Roman"/>
          <w:sz w:val="24"/>
          <w:szCs w:val="24"/>
        </w:rPr>
        <w:t xml:space="preserve"> [En </w:t>
      </w:r>
      <w:proofErr w:type="spellStart"/>
      <w:r w:rsidRPr="00126F1F">
        <w:rPr>
          <w:rFonts w:ascii="Times New Roman" w:hAnsi="Times New Roman" w:cs="Times New Roman"/>
          <w:sz w:val="24"/>
          <w:szCs w:val="24"/>
        </w:rPr>
        <w:t>ligne</w:t>
      </w:r>
      <w:proofErr w:type="spellEnd"/>
      <w:r w:rsidRPr="00126F1F">
        <w:rPr>
          <w:rFonts w:ascii="Times New Roman" w:hAnsi="Times New Roman" w:cs="Times New Roman"/>
          <w:sz w:val="24"/>
          <w:szCs w:val="24"/>
        </w:rPr>
        <w:t xml:space="preserve">], 11 | 1er semestre / Spring 2012, mis en </w:t>
      </w:r>
      <w:proofErr w:type="spellStart"/>
      <w:r w:rsidRPr="00126F1F">
        <w:rPr>
          <w:rFonts w:ascii="Times New Roman" w:hAnsi="Times New Roman" w:cs="Times New Roman"/>
          <w:sz w:val="24"/>
          <w:szCs w:val="24"/>
        </w:rPr>
        <w:t>ligne</w:t>
      </w:r>
      <w:proofErr w:type="spellEnd"/>
      <w:r w:rsidRPr="00126F1F">
        <w:rPr>
          <w:rFonts w:ascii="Times New Roman" w:hAnsi="Times New Roman" w:cs="Times New Roman"/>
          <w:sz w:val="24"/>
          <w:szCs w:val="24"/>
        </w:rPr>
        <w:t xml:space="preserve"> le 27 </w:t>
      </w:r>
      <w:proofErr w:type="spellStart"/>
      <w:r w:rsidRPr="00126F1F">
        <w:rPr>
          <w:rFonts w:ascii="Times New Roman" w:hAnsi="Times New Roman" w:cs="Times New Roman"/>
          <w:sz w:val="24"/>
          <w:szCs w:val="24"/>
        </w:rPr>
        <w:t>avril</w:t>
      </w:r>
      <w:proofErr w:type="spellEnd"/>
      <w:r w:rsidRPr="00126F1F">
        <w:rPr>
          <w:rFonts w:ascii="Times New Roman" w:hAnsi="Times New Roman" w:cs="Times New Roman"/>
          <w:sz w:val="24"/>
          <w:szCs w:val="24"/>
        </w:rPr>
        <w:t xml:space="preserve"> 2012, consulté le 18 </w:t>
      </w:r>
      <w:proofErr w:type="spellStart"/>
      <w:r w:rsidRPr="00126F1F">
        <w:rPr>
          <w:rFonts w:ascii="Times New Roman" w:hAnsi="Times New Roman" w:cs="Times New Roman"/>
          <w:sz w:val="24"/>
          <w:szCs w:val="24"/>
        </w:rPr>
        <w:t>novembre</w:t>
      </w:r>
      <w:proofErr w:type="spellEnd"/>
      <w:r w:rsidRPr="00126F1F">
        <w:rPr>
          <w:rFonts w:ascii="Times New Roman" w:hAnsi="Times New Roman" w:cs="Times New Roman"/>
          <w:sz w:val="24"/>
          <w:szCs w:val="24"/>
        </w:rPr>
        <w:t xml:space="preserve"> 2016. URL : http://regulation.revues.org/9695</w:t>
      </w:r>
    </w:p>
    <w:p w:rsidR="003A36BE" w:rsidRPr="00C53B5D" w:rsidRDefault="003A0054"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Novick</w:t>
      </w:r>
      <w:proofErr w:type="spellEnd"/>
      <w:r>
        <w:rPr>
          <w:rFonts w:ascii="Times New Roman" w:hAnsi="Times New Roman" w:cs="Times New Roman"/>
          <w:sz w:val="24"/>
          <w:szCs w:val="24"/>
        </w:rPr>
        <w:t xml:space="preserve">, M. (2006) </w:t>
      </w:r>
      <w:r w:rsidR="003A36BE" w:rsidRPr="002F3B01">
        <w:rPr>
          <w:rFonts w:ascii="Times New Roman" w:hAnsi="Times New Roman" w:cs="Times New Roman"/>
          <w:sz w:val="24"/>
          <w:szCs w:val="24"/>
        </w:rPr>
        <w:t xml:space="preserve">¿Emerge un nuevo modelo económico y social? El caso argentino 2003- 2006. </w:t>
      </w:r>
      <w:r>
        <w:rPr>
          <w:rFonts w:ascii="Times New Roman" w:hAnsi="Times New Roman" w:cs="Times New Roman"/>
          <w:sz w:val="24"/>
          <w:szCs w:val="24"/>
        </w:rPr>
        <w:t xml:space="preserve">En </w:t>
      </w:r>
      <w:r w:rsidR="003A36BE" w:rsidRPr="003A0054">
        <w:rPr>
          <w:rFonts w:ascii="Times New Roman" w:hAnsi="Times New Roman" w:cs="Times New Roman"/>
          <w:i/>
          <w:sz w:val="24"/>
          <w:szCs w:val="24"/>
        </w:rPr>
        <w:t>Revista Latinoamericana de Estudios del Trabajo</w:t>
      </w:r>
      <w:r w:rsidR="003A36BE" w:rsidRPr="002F3B01">
        <w:rPr>
          <w:rFonts w:ascii="Times New Roman" w:hAnsi="Times New Roman" w:cs="Times New Roman"/>
          <w:sz w:val="24"/>
          <w:szCs w:val="24"/>
        </w:rPr>
        <w:t>. Año 11, N° 18.</w:t>
      </w:r>
      <w:r>
        <w:rPr>
          <w:rFonts w:ascii="Times New Roman" w:hAnsi="Times New Roman" w:cs="Times New Roman"/>
          <w:sz w:val="24"/>
          <w:szCs w:val="24"/>
        </w:rPr>
        <w:t xml:space="preserve"> Brasil: RELET. </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C53B5D">
        <w:rPr>
          <w:rFonts w:ascii="Times New Roman" w:hAnsi="Times New Roman" w:cs="Times New Roman"/>
          <w:sz w:val="24"/>
          <w:szCs w:val="24"/>
        </w:rPr>
        <w:lastRenderedPageBreak/>
        <w:t>Nun</w:t>
      </w:r>
      <w:proofErr w:type="spellEnd"/>
      <w:r w:rsidRPr="00C53B5D">
        <w:rPr>
          <w:rFonts w:ascii="Times New Roman" w:hAnsi="Times New Roman" w:cs="Times New Roman"/>
          <w:sz w:val="24"/>
          <w:szCs w:val="24"/>
        </w:rPr>
        <w:t xml:space="preserve">, J. (1969): “Superpoblación relativa, ejército industrial de reserva y masa marginal”, en Revista Latinoamericana de Sociología, Vol. 5, N° 2. </w:t>
      </w:r>
    </w:p>
    <w:p w:rsidR="003A36BE" w:rsidRDefault="003A0054"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_______ (1999) </w:t>
      </w:r>
      <w:r w:rsidR="003A36BE" w:rsidRPr="00C53B5D">
        <w:rPr>
          <w:rFonts w:ascii="Times New Roman" w:hAnsi="Times New Roman" w:cs="Times New Roman"/>
          <w:sz w:val="24"/>
          <w:szCs w:val="24"/>
        </w:rPr>
        <w:t xml:space="preserve">El futuro del empleo y la tesis de la masa marginal, en </w:t>
      </w:r>
      <w:r w:rsidR="00E704AC" w:rsidRPr="00E704AC">
        <w:rPr>
          <w:rFonts w:ascii="Times New Roman" w:hAnsi="Times New Roman" w:cs="Times New Roman"/>
          <w:i/>
          <w:sz w:val="24"/>
          <w:szCs w:val="24"/>
        </w:rPr>
        <w:t xml:space="preserve">Revista </w:t>
      </w:r>
      <w:r w:rsidR="003A36BE" w:rsidRPr="00E704AC">
        <w:rPr>
          <w:rFonts w:ascii="Times New Roman" w:hAnsi="Times New Roman" w:cs="Times New Roman"/>
          <w:i/>
          <w:sz w:val="24"/>
          <w:szCs w:val="24"/>
        </w:rPr>
        <w:t>Desarrollo Económico</w:t>
      </w:r>
      <w:r w:rsidR="003A36BE" w:rsidRPr="00C53B5D">
        <w:rPr>
          <w:rFonts w:ascii="Times New Roman" w:hAnsi="Times New Roman" w:cs="Times New Roman"/>
          <w:sz w:val="24"/>
          <w:szCs w:val="24"/>
        </w:rPr>
        <w:t xml:space="preserve">, Vol. 38, N° 152, pp. 985-1004. </w:t>
      </w:r>
    </w:p>
    <w:p w:rsidR="003A36BE" w:rsidRPr="007742D0"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lang w:val="en-US"/>
        </w:rPr>
      </w:pPr>
      <w:r w:rsidRPr="0007300C">
        <w:rPr>
          <w:rFonts w:ascii="Times New Roman" w:hAnsi="Times New Roman" w:cs="Times New Roman"/>
          <w:sz w:val="24"/>
          <w:szCs w:val="24"/>
          <w:lang w:val="en-US"/>
        </w:rPr>
        <w:t xml:space="preserve">OCDE (1998), Human Capital Investment. An international </w:t>
      </w:r>
      <w:proofErr w:type="spellStart"/>
      <w:r w:rsidRPr="0007300C">
        <w:rPr>
          <w:rFonts w:ascii="Times New Roman" w:hAnsi="Times New Roman" w:cs="Times New Roman"/>
          <w:sz w:val="24"/>
          <w:szCs w:val="24"/>
          <w:lang w:val="en-US"/>
        </w:rPr>
        <w:t>comparision</w:t>
      </w:r>
      <w:proofErr w:type="spellEnd"/>
      <w:r w:rsidRPr="0007300C">
        <w:rPr>
          <w:rFonts w:ascii="Times New Roman" w:hAnsi="Times New Roman" w:cs="Times New Roman"/>
          <w:sz w:val="24"/>
          <w:szCs w:val="24"/>
          <w:lang w:val="en-US"/>
        </w:rPr>
        <w:t xml:space="preserve">, Center for educational research and innovation, </w:t>
      </w:r>
      <w:proofErr w:type="spellStart"/>
      <w:r w:rsidRPr="0007300C">
        <w:rPr>
          <w:rFonts w:ascii="Times New Roman" w:hAnsi="Times New Roman" w:cs="Times New Roman"/>
          <w:sz w:val="24"/>
          <w:szCs w:val="24"/>
          <w:lang w:val="en-US"/>
        </w:rPr>
        <w:t>Francia</w:t>
      </w:r>
      <w:proofErr w:type="spellEnd"/>
      <w:r w:rsidRPr="0007300C">
        <w:rPr>
          <w:rFonts w:ascii="Times New Roman" w:hAnsi="Times New Roman" w:cs="Times New Roman"/>
          <w:sz w:val="24"/>
          <w:szCs w:val="24"/>
          <w:lang w:val="en-US"/>
        </w:rPr>
        <w:t>.</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737B27">
        <w:rPr>
          <w:rFonts w:ascii="Times New Roman" w:hAnsi="Times New Roman" w:cs="Times New Roman"/>
          <w:sz w:val="24"/>
          <w:szCs w:val="24"/>
          <w:lang w:val="en-US"/>
        </w:rPr>
        <w:t xml:space="preserve">O'Higgins, N. (1997). The challenge of youth unemployment. Action </w:t>
      </w:r>
      <w:proofErr w:type="spellStart"/>
      <w:r w:rsidRPr="00737B27">
        <w:rPr>
          <w:rFonts w:ascii="Times New Roman" w:hAnsi="Times New Roman" w:cs="Times New Roman"/>
          <w:sz w:val="24"/>
          <w:szCs w:val="24"/>
          <w:lang w:val="en-US"/>
        </w:rPr>
        <w:t>Programme</w:t>
      </w:r>
      <w:proofErr w:type="spellEnd"/>
      <w:r w:rsidRPr="00737B27">
        <w:rPr>
          <w:rFonts w:ascii="Times New Roman" w:hAnsi="Times New Roman" w:cs="Times New Roman"/>
          <w:sz w:val="24"/>
          <w:szCs w:val="24"/>
          <w:lang w:val="en-US"/>
        </w:rPr>
        <w:t xml:space="preserve"> on youth unemployment, ILO. </w:t>
      </w:r>
      <w:r w:rsidRPr="00C53B5D">
        <w:rPr>
          <w:rFonts w:ascii="Times New Roman" w:hAnsi="Times New Roman" w:cs="Times New Roman"/>
          <w:sz w:val="24"/>
          <w:szCs w:val="24"/>
        </w:rPr>
        <w:t xml:space="preserve">Geneva. </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C53B5D">
        <w:rPr>
          <w:rFonts w:ascii="Times New Roman" w:hAnsi="Times New Roman" w:cs="Times New Roman"/>
          <w:sz w:val="24"/>
          <w:szCs w:val="24"/>
        </w:rPr>
        <w:t>OIT (2000). Emplear a los jóvenes: promover un crecimiento intensivo en empleo. Oficina Internacional del Trabajo, Ginebra</w:t>
      </w:r>
      <w:r w:rsidR="00E704AC">
        <w:rPr>
          <w:rFonts w:ascii="Times New Roman" w:hAnsi="Times New Roman" w:cs="Times New Roman"/>
          <w:sz w:val="24"/>
          <w:szCs w:val="24"/>
        </w:rPr>
        <w:t>.</w:t>
      </w:r>
      <w:r w:rsidRPr="00C53B5D">
        <w:rPr>
          <w:rFonts w:ascii="Times New Roman" w:hAnsi="Times New Roman" w:cs="Times New Roman"/>
          <w:sz w:val="24"/>
          <w:szCs w:val="24"/>
        </w:rPr>
        <w:t xml:space="preserve"> </w:t>
      </w:r>
    </w:p>
    <w:p w:rsidR="003A36BE" w:rsidRPr="0007300C"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C53B5D">
        <w:rPr>
          <w:rFonts w:ascii="Times New Roman" w:hAnsi="Times New Roman" w:cs="Times New Roman"/>
          <w:sz w:val="24"/>
          <w:szCs w:val="24"/>
        </w:rPr>
        <w:t>OIT/CINTERFOR (2000).</w:t>
      </w:r>
      <w:r>
        <w:rPr>
          <w:rFonts w:ascii="Times New Roman" w:hAnsi="Times New Roman" w:cs="Times New Roman"/>
          <w:sz w:val="24"/>
          <w:szCs w:val="24"/>
        </w:rPr>
        <w:t xml:space="preserve"> </w:t>
      </w:r>
      <w:r w:rsidRPr="00C53B5D">
        <w:rPr>
          <w:rFonts w:ascii="Times New Roman" w:hAnsi="Times New Roman" w:cs="Times New Roman"/>
          <w:sz w:val="24"/>
          <w:szCs w:val="24"/>
        </w:rPr>
        <w:t>Emplear a los jóvenes: promover un crecimiento intensivo en empleo. Informe preparado para el Simposio Inter Regional sobre Estrategias para Combatir el Desempleo y la Marginalización de los Jóvenes.</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C53B5D">
        <w:rPr>
          <w:rFonts w:ascii="Times New Roman" w:hAnsi="Times New Roman" w:cs="Times New Roman"/>
          <w:sz w:val="24"/>
          <w:szCs w:val="24"/>
        </w:rPr>
        <w:t xml:space="preserve">OIT (2005). El empleo de los jóvenes: vías para acceder a un trabajo decente. Conferencia internacional del Trabajo, 93 </w:t>
      </w:r>
      <w:proofErr w:type="gramStart"/>
      <w:r w:rsidRPr="00C53B5D">
        <w:rPr>
          <w:rFonts w:ascii="Times New Roman" w:hAnsi="Times New Roman" w:cs="Times New Roman"/>
          <w:sz w:val="24"/>
          <w:szCs w:val="24"/>
        </w:rPr>
        <w:t>reunión</w:t>
      </w:r>
      <w:proofErr w:type="gramEnd"/>
      <w:r w:rsidRPr="00C53B5D">
        <w:rPr>
          <w:rFonts w:ascii="Times New Roman" w:hAnsi="Times New Roman" w:cs="Times New Roman"/>
          <w:sz w:val="24"/>
          <w:szCs w:val="24"/>
        </w:rPr>
        <w:t xml:space="preserve">. Informe VI. Promoción del empleo de los jóvenes: abordar el desafío. Ginebra. </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737B27">
        <w:rPr>
          <w:rFonts w:ascii="Times New Roman" w:hAnsi="Times New Roman" w:cs="Times New Roman"/>
          <w:sz w:val="24"/>
          <w:szCs w:val="24"/>
          <w:lang w:val="en-US"/>
        </w:rPr>
        <w:t xml:space="preserve">OIT (2005). Trends in the employment intensity of economic growth. </w:t>
      </w:r>
      <w:r w:rsidRPr="00C53B5D">
        <w:rPr>
          <w:rFonts w:ascii="Times New Roman" w:hAnsi="Times New Roman" w:cs="Times New Roman"/>
          <w:sz w:val="24"/>
          <w:szCs w:val="24"/>
        </w:rPr>
        <w:t xml:space="preserve">Key </w:t>
      </w:r>
      <w:proofErr w:type="spellStart"/>
      <w:r w:rsidRPr="00C53B5D">
        <w:rPr>
          <w:rFonts w:ascii="Times New Roman" w:hAnsi="Times New Roman" w:cs="Times New Roman"/>
          <w:sz w:val="24"/>
          <w:szCs w:val="24"/>
        </w:rPr>
        <w:t>issues</w:t>
      </w:r>
      <w:proofErr w:type="spellEnd"/>
      <w:r w:rsidRPr="00C53B5D">
        <w:rPr>
          <w:rFonts w:ascii="Times New Roman" w:hAnsi="Times New Roman" w:cs="Times New Roman"/>
          <w:sz w:val="24"/>
          <w:szCs w:val="24"/>
        </w:rPr>
        <w:t xml:space="preserve"> in </w:t>
      </w:r>
      <w:proofErr w:type="spellStart"/>
      <w:r w:rsidRPr="00C53B5D">
        <w:rPr>
          <w:rFonts w:ascii="Times New Roman" w:hAnsi="Times New Roman" w:cs="Times New Roman"/>
          <w:sz w:val="24"/>
          <w:szCs w:val="24"/>
        </w:rPr>
        <w:t>the</w:t>
      </w:r>
      <w:proofErr w:type="spellEnd"/>
      <w:r w:rsidRPr="00C53B5D">
        <w:rPr>
          <w:rFonts w:ascii="Times New Roman" w:hAnsi="Times New Roman" w:cs="Times New Roman"/>
          <w:sz w:val="24"/>
          <w:szCs w:val="24"/>
        </w:rPr>
        <w:t xml:space="preserve"> labor </w:t>
      </w:r>
      <w:proofErr w:type="spellStart"/>
      <w:r w:rsidRPr="00C53B5D">
        <w:rPr>
          <w:rFonts w:ascii="Times New Roman" w:hAnsi="Times New Roman" w:cs="Times New Roman"/>
          <w:sz w:val="24"/>
          <w:szCs w:val="24"/>
        </w:rPr>
        <w:t>market</w:t>
      </w:r>
      <w:proofErr w:type="spellEnd"/>
      <w:r w:rsidRPr="00C53B5D">
        <w:rPr>
          <w:rFonts w:ascii="Times New Roman" w:hAnsi="Times New Roman" w:cs="Times New Roman"/>
          <w:sz w:val="24"/>
          <w:szCs w:val="24"/>
        </w:rPr>
        <w:t xml:space="preserve">. ILO </w:t>
      </w:r>
      <w:proofErr w:type="spellStart"/>
      <w:r w:rsidRPr="00C53B5D">
        <w:rPr>
          <w:rFonts w:ascii="Times New Roman" w:hAnsi="Times New Roman" w:cs="Times New Roman"/>
          <w:sz w:val="24"/>
          <w:szCs w:val="24"/>
        </w:rPr>
        <w:t>Employment</w:t>
      </w:r>
      <w:proofErr w:type="spellEnd"/>
      <w:r w:rsidRPr="00C53B5D">
        <w:rPr>
          <w:rFonts w:ascii="Times New Roman" w:hAnsi="Times New Roman" w:cs="Times New Roman"/>
          <w:sz w:val="24"/>
          <w:szCs w:val="24"/>
        </w:rPr>
        <w:t xml:space="preserve"> </w:t>
      </w:r>
      <w:proofErr w:type="spellStart"/>
      <w:r w:rsidRPr="00C53B5D">
        <w:rPr>
          <w:rFonts w:ascii="Times New Roman" w:hAnsi="Times New Roman" w:cs="Times New Roman"/>
          <w:sz w:val="24"/>
          <w:szCs w:val="24"/>
        </w:rPr>
        <w:t>Trends</w:t>
      </w:r>
      <w:proofErr w:type="spellEnd"/>
      <w:r w:rsidRPr="00C53B5D">
        <w:rPr>
          <w:rFonts w:ascii="Times New Roman" w:hAnsi="Times New Roman" w:cs="Times New Roman"/>
          <w:sz w:val="24"/>
          <w:szCs w:val="24"/>
        </w:rPr>
        <w:t xml:space="preserve">. </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OIT</w:t>
      </w:r>
      <w:r w:rsidRPr="00C27016">
        <w:rPr>
          <w:rFonts w:ascii="Times New Roman" w:hAnsi="Times New Roman" w:cs="Times New Roman"/>
          <w:sz w:val="24"/>
          <w:szCs w:val="24"/>
        </w:rPr>
        <w:t xml:space="preserve"> (201</w:t>
      </w:r>
      <w:r>
        <w:rPr>
          <w:rFonts w:ascii="Times New Roman" w:hAnsi="Times New Roman" w:cs="Times New Roman"/>
          <w:sz w:val="24"/>
          <w:szCs w:val="24"/>
        </w:rPr>
        <w:t>5</w:t>
      </w:r>
      <w:r w:rsidRPr="00C27016">
        <w:rPr>
          <w:rFonts w:ascii="Times New Roman" w:hAnsi="Times New Roman" w:cs="Times New Roman"/>
          <w:sz w:val="24"/>
          <w:szCs w:val="24"/>
        </w:rPr>
        <w:t>), Informalidad laboral en Argentina: segmentos críticos y políticas para la formalización, Buenos Aires, Oficina Internacional del Trabajo.</w:t>
      </w:r>
      <w:r w:rsidRPr="0007300C">
        <w:rPr>
          <w:rFonts w:ascii="Times New Roman" w:hAnsi="Times New Roman" w:cs="Times New Roman"/>
          <w:sz w:val="24"/>
          <w:szCs w:val="24"/>
        </w:rPr>
        <w:t xml:space="preserve"> </w:t>
      </w:r>
    </w:p>
    <w:p w:rsidR="003A36BE" w:rsidRPr="0007300C"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2F3B01">
        <w:rPr>
          <w:rFonts w:ascii="Times New Roman" w:hAnsi="Times New Roman" w:cs="Times New Roman"/>
          <w:sz w:val="24"/>
          <w:szCs w:val="24"/>
        </w:rPr>
        <w:t xml:space="preserve">Palomino, H. </w:t>
      </w:r>
      <w:r w:rsidR="00E704AC">
        <w:rPr>
          <w:rFonts w:ascii="Times New Roman" w:hAnsi="Times New Roman" w:cs="Times New Roman"/>
          <w:sz w:val="24"/>
          <w:szCs w:val="24"/>
        </w:rPr>
        <w:t xml:space="preserve">(2007), </w:t>
      </w:r>
      <w:r w:rsidRPr="002F3B01">
        <w:rPr>
          <w:rFonts w:ascii="Times New Roman" w:hAnsi="Times New Roman" w:cs="Times New Roman"/>
          <w:sz w:val="24"/>
          <w:szCs w:val="24"/>
        </w:rPr>
        <w:t>La instalación de un nuevo régimen de empleo en Argentina: de l</w:t>
      </w:r>
      <w:r w:rsidR="00E704AC">
        <w:rPr>
          <w:rFonts w:ascii="Times New Roman" w:hAnsi="Times New Roman" w:cs="Times New Roman"/>
          <w:sz w:val="24"/>
          <w:szCs w:val="24"/>
        </w:rPr>
        <w:t>a precarización a la regulación</w:t>
      </w:r>
      <w:r w:rsidRPr="002F3B01">
        <w:rPr>
          <w:rFonts w:ascii="Times New Roman" w:hAnsi="Times New Roman" w:cs="Times New Roman"/>
          <w:sz w:val="24"/>
          <w:szCs w:val="24"/>
        </w:rPr>
        <w:t xml:space="preserve">. </w:t>
      </w:r>
      <w:r w:rsidR="00E704AC">
        <w:rPr>
          <w:rFonts w:ascii="Times New Roman" w:hAnsi="Times New Roman" w:cs="Times New Roman"/>
          <w:sz w:val="24"/>
          <w:szCs w:val="24"/>
        </w:rPr>
        <w:t xml:space="preserve">En </w:t>
      </w:r>
      <w:r w:rsidRPr="00E704AC">
        <w:rPr>
          <w:rFonts w:ascii="Times New Roman" w:hAnsi="Times New Roman" w:cs="Times New Roman"/>
          <w:i/>
          <w:sz w:val="24"/>
          <w:szCs w:val="24"/>
        </w:rPr>
        <w:t>Revista Latinoamericana de Estudios del Trabajo</w:t>
      </w:r>
      <w:r w:rsidR="00E704AC">
        <w:rPr>
          <w:rFonts w:ascii="Times New Roman" w:hAnsi="Times New Roman" w:cs="Times New Roman"/>
          <w:sz w:val="24"/>
          <w:szCs w:val="24"/>
        </w:rPr>
        <w:t xml:space="preserve">. Año 12, N° 19 Brasil: RELET. </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C53B5D">
        <w:rPr>
          <w:rFonts w:ascii="Times New Roman" w:hAnsi="Times New Roman" w:cs="Times New Roman"/>
          <w:sz w:val="24"/>
          <w:szCs w:val="24"/>
        </w:rPr>
        <w:t>Paugam</w:t>
      </w:r>
      <w:proofErr w:type="spellEnd"/>
      <w:r w:rsidRPr="00C53B5D">
        <w:rPr>
          <w:rFonts w:ascii="Times New Roman" w:hAnsi="Times New Roman" w:cs="Times New Roman"/>
          <w:sz w:val="24"/>
          <w:szCs w:val="24"/>
        </w:rPr>
        <w:t xml:space="preserve">, S., 2000. Le salarié de la </w:t>
      </w:r>
      <w:proofErr w:type="spellStart"/>
      <w:r w:rsidRPr="00C53B5D">
        <w:rPr>
          <w:rFonts w:ascii="Times New Roman" w:hAnsi="Times New Roman" w:cs="Times New Roman"/>
          <w:sz w:val="24"/>
          <w:szCs w:val="24"/>
        </w:rPr>
        <w:t>précarité</w:t>
      </w:r>
      <w:proofErr w:type="spellEnd"/>
      <w:r w:rsidRPr="00C53B5D">
        <w:rPr>
          <w:rFonts w:ascii="Times New Roman" w:hAnsi="Times New Roman" w:cs="Times New Roman"/>
          <w:sz w:val="24"/>
          <w:szCs w:val="24"/>
        </w:rPr>
        <w:t>, PUF, Paris.</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C53B5D">
        <w:rPr>
          <w:rFonts w:ascii="Times New Roman" w:hAnsi="Times New Roman" w:cs="Times New Roman"/>
          <w:sz w:val="24"/>
          <w:szCs w:val="24"/>
        </w:rPr>
        <w:t xml:space="preserve">Pérez, P. (2006). Empleo de jóvenes y coyuntura económica. En </w:t>
      </w:r>
      <w:r w:rsidRPr="00E704AC">
        <w:rPr>
          <w:rFonts w:ascii="Times New Roman" w:hAnsi="Times New Roman" w:cs="Times New Roman"/>
          <w:i/>
          <w:sz w:val="24"/>
          <w:szCs w:val="24"/>
        </w:rPr>
        <w:t>Macroeconomía, mercado de trabajo y grupos vulnerables. Desafíos para el diseño de políticas públicas.</w:t>
      </w:r>
      <w:r w:rsidRPr="00C53B5D">
        <w:rPr>
          <w:rFonts w:ascii="Times New Roman" w:hAnsi="Times New Roman" w:cs="Times New Roman"/>
          <w:sz w:val="24"/>
          <w:szCs w:val="24"/>
        </w:rPr>
        <w:t xml:space="preserve"> </w:t>
      </w:r>
      <w:proofErr w:type="spellStart"/>
      <w:r w:rsidR="00E704AC" w:rsidRPr="00C53B5D">
        <w:rPr>
          <w:rFonts w:ascii="Times New Roman" w:hAnsi="Times New Roman" w:cs="Times New Roman"/>
          <w:sz w:val="24"/>
          <w:szCs w:val="24"/>
        </w:rPr>
        <w:t>Neffa</w:t>
      </w:r>
      <w:proofErr w:type="spellEnd"/>
      <w:r w:rsidR="00E704AC" w:rsidRPr="00C53B5D">
        <w:rPr>
          <w:rFonts w:ascii="Times New Roman" w:hAnsi="Times New Roman" w:cs="Times New Roman"/>
          <w:sz w:val="24"/>
          <w:szCs w:val="24"/>
        </w:rPr>
        <w:t>, J. y P. Pérez (</w:t>
      </w:r>
      <w:proofErr w:type="spellStart"/>
      <w:r w:rsidR="00E704AC" w:rsidRPr="00C53B5D">
        <w:rPr>
          <w:rFonts w:ascii="Times New Roman" w:hAnsi="Times New Roman" w:cs="Times New Roman"/>
          <w:sz w:val="24"/>
          <w:szCs w:val="24"/>
        </w:rPr>
        <w:t>coord</w:t>
      </w:r>
      <w:proofErr w:type="spellEnd"/>
      <w:r w:rsidR="00E704AC" w:rsidRPr="00C53B5D">
        <w:rPr>
          <w:rFonts w:ascii="Times New Roman" w:hAnsi="Times New Roman" w:cs="Times New Roman"/>
          <w:sz w:val="24"/>
          <w:szCs w:val="24"/>
        </w:rPr>
        <w:t xml:space="preserve">), </w:t>
      </w:r>
      <w:r w:rsidRPr="00C53B5D">
        <w:rPr>
          <w:rFonts w:ascii="Times New Roman" w:hAnsi="Times New Roman" w:cs="Times New Roman"/>
          <w:sz w:val="24"/>
          <w:szCs w:val="24"/>
        </w:rPr>
        <w:t>Buenos Aires: Trabajo y Sociedad.</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C53B5D">
        <w:rPr>
          <w:rFonts w:ascii="Times New Roman" w:hAnsi="Times New Roman" w:cs="Times New Roman"/>
          <w:sz w:val="24"/>
          <w:szCs w:val="24"/>
        </w:rPr>
        <w:t>Perez</w:t>
      </w:r>
      <w:proofErr w:type="spellEnd"/>
      <w:r w:rsidRPr="00C53B5D">
        <w:rPr>
          <w:rFonts w:ascii="Times New Roman" w:hAnsi="Times New Roman" w:cs="Times New Roman"/>
          <w:sz w:val="24"/>
          <w:szCs w:val="24"/>
        </w:rPr>
        <w:t xml:space="preserve"> P., (2008). La inserción ocupacional de los jóvenes en un contexto de desempleo masivo. El caso argentino entre 1995 y 2003, </w:t>
      </w:r>
      <w:r w:rsidR="00E704AC">
        <w:rPr>
          <w:rFonts w:ascii="Times New Roman" w:hAnsi="Times New Roman" w:cs="Times New Roman"/>
          <w:sz w:val="24"/>
          <w:szCs w:val="24"/>
        </w:rPr>
        <w:t>(</w:t>
      </w:r>
      <w:r w:rsidR="00E704AC" w:rsidRPr="00C53B5D">
        <w:rPr>
          <w:rFonts w:ascii="Times New Roman" w:hAnsi="Times New Roman" w:cs="Times New Roman"/>
          <w:sz w:val="24"/>
          <w:szCs w:val="24"/>
        </w:rPr>
        <w:t>p. 252</w:t>
      </w:r>
      <w:r w:rsidR="00E704AC">
        <w:rPr>
          <w:rFonts w:ascii="Times New Roman" w:hAnsi="Times New Roman" w:cs="Times New Roman"/>
          <w:sz w:val="24"/>
          <w:szCs w:val="24"/>
        </w:rPr>
        <w:t>)</w:t>
      </w:r>
      <w:r w:rsidR="00E704AC" w:rsidRPr="00C53B5D">
        <w:rPr>
          <w:rFonts w:ascii="Times New Roman" w:hAnsi="Times New Roman" w:cs="Times New Roman"/>
          <w:sz w:val="24"/>
          <w:szCs w:val="24"/>
        </w:rPr>
        <w:t>.</w:t>
      </w:r>
      <w:r w:rsidR="00E704AC">
        <w:rPr>
          <w:rFonts w:ascii="Times New Roman" w:hAnsi="Times New Roman" w:cs="Times New Roman"/>
          <w:sz w:val="24"/>
          <w:szCs w:val="24"/>
        </w:rPr>
        <w:t xml:space="preserve"> </w:t>
      </w:r>
      <w:r w:rsidRPr="00C53B5D">
        <w:rPr>
          <w:rFonts w:ascii="Times New Roman" w:hAnsi="Times New Roman" w:cs="Times New Roman"/>
          <w:sz w:val="24"/>
          <w:szCs w:val="24"/>
        </w:rPr>
        <w:t xml:space="preserve">Miño y </w:t>
      </w:r>
      <w:proofErr w:type="spellStart"/>
      <w:r w:rsidRPr="00C53B5D">
        <w:rPr>
          <w:rFonts w:ascii="Times New Roman" w:hAnsi="Times New Roman" w:cs="Times New Roman"/>
          <w:sz w:val="24"/>
          <w:szCs w:val="24"/>
        </w:rPr>
        <w:t>Davila</w:t>
      </w:r>
      <w:proofErr w:type="spellEnd"/>
      <w:r w:rsidRPr="00C53B5D">
        <w:rPr>
          <w:rFonts w:ascii="Times New Roman" w:hAnsi="Times New Roman" w:cs="Times New Roman"/>
          <w:sz w:val="24"/>
          <w:szCs w:val="24"/>
        </w:rPr>
        <w:t xml:space="preserve"> Editores/</w:t>
      </w:r>
      <w:proofErr w:type="spellStart"/>
      <w:r w:rsidRPr="00C53B5D">
        <w:rPr>
          <w:rFonts w:ascii="Times New Roman" w:hAnsi="Times New Roman" w:cs="Times New Roman"/>
          <w:sz w:val="24"/>
          <w:szCs w:val="24"/>
        </w:rPr>
        <w:t>Ceil-Piette</w:t>
      </w:r>
      <w:proofErr w:type="spellEnd"/>
      <w:r w:rsidRPr="00C53B5D">
        <w:rPr>
          <w:rFonts w:ascii="Times New Roman" w:hAnsi="Times New Roman" w:cs="Times New Roman"/>
          <w:sz w:val="24"/>
          <w:szCs w:val="24"/>
        </w:rPr>
        <w:t xml:space="preserve"> CONICET, Buenos Aires, </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C53B5D">
        <w:rPr>
          <w:rFonts w:ascii="Times New Roman" w:hAnsi="Times New Roman" w:cs="Times New Roman"/>
          <w:sz w:val="24"/>
          <w:szCs w:val="24"/>
        </w:rPr>
        <w:t>Pérez</w:t>
      </w:r>
      <w:r>
        <w:rPr>
          <w:rFonts w:ascii="Times New Roman" w:hAnsi="Times New Roman" w:cs="Times New Roman"/>
          <w:sz w:val="24"/>
          <w:szCs w:val="24"/>
        </w:rPr>
        <w:t>, P.</w:t>
      </w:r>
      <w:r w:rsidRPr="00C53B5D">
        <w:rPr>
          <w:rFonts w:ascii="Times New Roman" w:hAnsi="Times New Roman" w:cs="Times New Roman"/>
          <w:sz w:val="24"/>
          <w:szCs w:val="24"/>
        </w:rPr>
        <w:t xml:space="preserve"> y </w:t>
      </w:r>
      <w:proofErr w:type="spellStart"/>
      <w:r w:rsidRPr="00C53B5D">
        <w:rPr>
          <w:rFonts w:ascii="Times New Roman" w:hAnsi="Times New Roman" w:cs="Times New Roman"/>
          <w:sz w:val="24"/>
          <w:szCs w:val="24"/>
        </w:rPr>
        <w:t>Busso</w:t>
      </w:r>
      <w:proofErr w:type="spellEnd"/>
      <w:r>
        <w:rPr>
          <w:rFonts w:ascii="Times New Roman" w:hAnsi="Times New Roman" w:cs="Times New Roman"/>
          <w:sz w:val="24"/>
          <w:szCs w:val="24"/>
        </w:rPr>
        <w:t xml:space="preserve"> M.</w:t>
      </w:r>
      <w:r w:rsidR="00E704AC">
        <w:rPr>
          <w:rFonts w:ascii="Times New Roman" w:hAnsi="Times New Roman" w:cs="Times New Roman"/>
          <w:sz w:val="24"/>
          <w:szCs w:val="24"/>
        </w:rPr>
        <w:t xml:space="preserve"> (coord.</w:t>
      </w:r>
      <w:r w:rsidRPr="00C53B5D">
        <w:rPr>
          <w:rFonts w:ascii="Times New Roman" w:hAnsi="Times New Roman" w:cs="Times New Roman"/>
          <w:sz w:val="24"/>
          <w:szCs w:val="24"/>
        </w:rPr>
        <w:t xml:space="preserve">) </w:t>
      </w:r>
      <w:r>
        <w:rPr>
          <w:rFonts w:ascii="Times New Roman" w:hAnsi="Times New Roman" w:cs="Times New Roman"/>
          <w:sz w:val="24"/>
          <w:szCs w:val="24"/>
        </w:rPr>
        <w:t xml:space="preserve">(2014) </w:t>
      </w:r>
      <w:r w:rsidRPr="00C53B5D">
        <w:rPr>
          <w:rFonts w:ascii="Times New Roman" w:hAnsi="Times New Roman" w:cs="Times New Roman"/>
          <w:sz w:val="24"/>
          <w:szCs w:val="24"/>
        </w:rPr>
        <w:t>Tiempos contingentes: inserción laboral de los jóvenes en la Argentin</w:t>
      </w:r>
      <w:r w:rsidR="00E704AC">
        <w:rPr>
          <w:rFonts w:ascii="Times New Roman" w:hAnsi="Times New Roman" w:cs="Times New Roman"/>
          <w:sz w:val="24"/>
          <w:szCs w:val="24"/>
        </w:rPr>
        <w:t xml:space="preserve">a </w:t>
      </w:r>
      <w:proofErr w:type="spellStart"/>
      <w:r w:rsidR="00E704AC">
        <w:rPr>
          <w:rFonts w:ascii="Times New Roman" w:hAnsi="Times New Roman" w:cs="Times New Roman"/>
          <w:sz w:val="24"/>
          <w:szCs w:val="24"/>
        </w:rPr>
        <w:t>posneoliberal</w:t>
      </w:r>
      <w:proofErr w:type="spellEnd"/>
      <w:r w:rsidR="00E704AC">
        <w:rPr>
          <w:rFonts w:ascii="Times New Roman" w:hAnsi="Times New Roman" w:cs="Times New Roman"/>
          <w:sz w:val="24"/>
          <w:szCs w:val="24"/>
        </w:rPr>
        <w:t>.</w:t>
      </w:r>
      <w:r w:rsidRPr="00C53B5D">
        <w:rPr>
          <w:rFonts w:ascii="Times New Roman" w:hAnsi="Times New Roman" w:cs="Times New Roman"/>
          <w:sz w:val="24"/>
          <w:szCs w:val="24"/>
        </w:rPr>
        <w:t xml:space="preserve"> Buenos Aires, Miño y </w:t>
      </w:r>
      <w:r w:rsidR="00E704AC">
        <w:rPr>
          <w:rFonts w:ascii="Times New Roman" w:hAnsi="Times New Roman" w:cs="Times New Roman"/>
          <w:sz w:val="24"/>
          <w:szCs w:val="24"/>
        </w:rPr>
        <w:t xml:space="preserve">Dávila/CEIL/Trabajo y Sociedad. </w:t>
      </w:r>
    </w:p>
    <w:p w:rsidR="003A36BE" w:rsidRPr="00C53B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C53B5D">
        <w:rPr>
          <w:rFonts w:ascii="Times New Roman" w:hAnsi="Times New Roman" w:cs="Times New Roman"/>
          <w:sz w:val="24"/>
          <w:szCs w:val="24"/>
        </w:rPr>
        <w:t xml:space="preserve">Pérez, </w:t>
      </w:r>
      <w:proofErr w:type="spellStart"/>
      <w:r w:rsidRPr="00C53B5D">
        <w:rPr>
          <w:rFonts w:ascii="Times New Roman" w:hAnsi="Times New Roman" w:cs="Times New Roman"/>
          <w:sz w:val="24"/>
          <w:szCs w:val="24"/>
        </w:rPr>
        <w:t>D</w:t>
      </w:r>
      <w:r w:rsidR="00E704AC">
        <w:rPr>
          <w:rFonts w:ascii="Times New Roman" w:hAnsi="Times New Roman" w:cs="Times New Roman"/>
          <w:sz w:val="24"/>
          <w:szCs w:val="24"/>
        </w:rPr>
        <w:t>eleo</w:t>
      </w:r>
      <w:proofErr w:type="spellEnd"/>
      <w:r w:rsidR="00E704AC">
        <w:rPr>
          <w:rFonts w:ascii="Times New Roman" w:hAnsi="Times New Roman" w:cs="Times New Roman"/>
          <w:sz w:val="24"/>
          <w:szCs w:val="24"/>
        </w:rPr>
        <w:t xml:space="preserve"> y Fernández </w:t>
      </w:r>
      <w:proofErr w:type="spellStart"/>
      <w:r w:rsidR="00E704AC">
        <w:rPr>
          <w:rFonts w:ascii="Times New Roman" w:hAnsi="Times New Roman" w:cs="Times New Roman"/>
          <w:sz w:val="24"/>
          <w:szCs w:val="24"/>
        </w:rPr>
        <w:t>Massi</w:t>
      </w:r>
      <w:proofErr w:type="spellEnd"/>
      <w:r w:rsidR="00E704AC">
        <w:rPr>
          <w:rFonts w:ascii="Times New Roman" w:hAnsi="Times New Roman" w:cs="Times New Roman"/>
          <w:sz w:val="24"/>
          <w:szCs w:val="24"/>
        </w:rPr>
        <w:t xml:space="preserve"> (2013), </w:t>
      </w:r>
      <w:r w:rsidRPr="00C53B5D">
        <w:rPr>
          <w:rFonts w:ascii="Times New Roman" w:hAnsi="Times New Roman" w:cs="Times New Roman"/>
          <w:sz w:val="24"/>
          <w:szCs w:val="24"/>
        </w:rPr>
        <w:t>Desigualdades sociales en trayectorias labor</w:t>
      </w:r>
      <w:r w:rsidR="00E704AC">
        <w:rPr>
          <w:rFonts w:ascii="Times New Roman" w:hAnsi="Times New Roman" w:cs="Times New Roman"/>
          <w:sz w:val="24"/>
          <w:szCs w:val="24"/>
        </w:rPr>
        <w:t xml:space="preserve">ales de jóvenes en la Argentina. En </w:t>
      </w:r>
      <w:r w:rsidRPr="00E704AC">
        <w:rPr>
          <w:rFonts w:ascii="Times New Roman" w:hAnsi="Times New Roman" w:cs="Times New Roman"/>
          <w:i/>
          <w:sz w:val="24"/>
          <w:szCs w:val="24"/>
        </w:rPr>
        <w:t>Revista Latinoamericana de Población</w:t>
      </w:r>
      <w:r w:rsidRPr="00C53B5D">
        <w:rPr>
          <w:rFonts w:ascii="Times New Roman" w:hAnsi="Times New Roman" w:cs="Times New Roman"/>
          <w:sz w:val="24"/>
          <w:szCs w:val="24"/>
        </w:rPr>
        <w:t>, Año 7, Número 13. Julio-Diciembre</w:t>
      </w:r>
      <w:r w:rsidR="00E704AC">
        <w:rPr>
          <w:rFonts w:ascii="Times New Roman" w:hAnsi="Times New Roman" w:cs="Times New Roman"/>
          <w:sz w:val="24"/>
          <w:szCs w:val="24"/>
        </w:rPr>
        <w:t xml:space="preserve">. </w:t>
      </w:r>
    </w:p>
    <w:p w:rsidR="003A36BE" w:rsidRDefault="00E704AC"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Pinto (1970) </w:t>
      </w:r>
      <w:r w:rsidR="003A36BE" w:rsidRPr="00C53B5D">
        <w:rPr>
          <w:rFonts w:ascii="Times New Roman" w:hAnsi="Times New Roman" w:cs="Times New Roman"/>
          <w:sz w:val="24"/>
          <w:szCs w:val="24"/>
        </w:rPr>
        <w:t>Notas sobre la naturaleza e implicaciones de la heterogeneida</w:t>
      </w:r>
      <w:r>
        <w:rPr>
          <w:rFonts w:ascii="Times New Roman" w:hAnsi="Times New Roman" w:cs="Times New Roman"/>
          <w:sz w:val="24"/>
          <w:szCs w:val="24"/>
        </w:rPr>
        <w:t>d estructural de América Latina</w:t>
      </w:r>
      <w:r w:rsidR="003A36BE" w:rsidRPr="00C53B5D">
        <w:rPr>
          <w:rFonts w:ascii="Times New Roman" w:hAnsi="Times New Roman" w:cs="Times New Roman"/>
          <w:sz w:val="24"/>
          <w:szCs w:val="24"/>
        </w:rPr>
        <w:t xml:space="preserve">, en </w:t>
      </w:r>
      <w:r w:rsidR="003A36BE" w:rsidRPr="00E704AC">
        <w:rPr>
          <w:rFonts w:ascii="Times New Roman" w:hAnsi="Times New Roman" w:cs="Times New Roman"/>
          <w:i/>
          <w:sz w:val="24"/>
          <w:szCs w:val="24"/>
        </w:rPr>
        <w:t>Dos polémicas sobre el desarrollo de América Latina</w:t>
      </w:r>
      <w:r w:rsidR="003A36BE" w:rsidRPr="00C53B5D">
        <w:rPr>
          <w:rFonts w:ascii="Times New Roman" w:hAnsi="Times New Roman" w:cs="Times New Roman"/>
          <w:sz w:val="24"/>
          <w:szCs w:val="24"/>
        </w:rPr>
        <w:t>, Santiago de Chile, ILPES.</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PNUD (</w:t>
      </w:r>
      <w:r w:rsidRPr="00D43F37">
        <w:rPr>
          <w:rFonts w:ascii="Times New Roman" w:hAnsi="Times New Roman" w:cs="Times New Roman"/>
          <w:sz w:val="24"/>
          <w:szCs w:val="24"/>
        </w:rPr>
        <w:t>2011</w:t>
      </w:r>
      <w:r>
        <w:rPr>
          <w:rFonts w:ascii="Times New Roman" w:hAnsi="Times New Roman" w:cs="Times New Roman"/>
          <w:sz w:val="24"/>
          <w:szCs w:val="24"/>
        </w:rPr>
        <w:t>)</w:t>
      </w:r>
      <w:r w:rsidR="00E704AC">
        <w:rPr>
          <w:rFonts w:ascii="Times New Roman" w:hAnsi="Times New Roman" w:cs="Times New Roman"/>
          <w:sz w:val="24"/>
          <w:szCs w:val="24"/>
        </w:rPr>
        <w:t xml:space="preserve"> </w:t>
      </w:r>
      <w:r w:rsidRPr="00D43F37">
        <w:rPr>
          <w:rFonts w:ascii="Times New Roman" w:hAnsi="Times New Roman" w:cs="Times New Roman"/>
          <w:sz w:val="24"/>
          <w:szCs w:val="24"/>
        </w:rPr>
        <w:t>Género en cifras: Mujeres y v</w:t>
      </w:r>
      <w:r w:rsidR="00E704AC">
        <w:rPr>
          <w:rFonts w:ascii="Times New Roman" w:hAnsi="Times New Roman" w:cs="Times New Roman"/>
          <w:sz w:val="24"/>
          <w:szCs w:val="24"/>
        </w:rPr>
        <w:t>arones en la sociedad argentina</w:t>
      </w:r>
      <w:r w:rsidRPr="00D43F37">
        <w:rPr>
          <w:rFonts w:ascii="Times New Roman" w:hAnsi="Times New Roman" w:cs="Times New Roman"/>
          <w:sz w:val="24"/>
          <w:szCs w:val="24"/>
        </w:rPr>
        <w:t>.</w:t>
      </w:r>
      <w:r w:rsidR="00E704AC">
        <w:rPr>
          <w:rFonts w:ascii="Times New Roman" w:hAnsi="Times New Roman" w:cs="Times New Roman"/>
          <w:sz w:val="24"/>
          <w:szCs w:val="24"/>
        </w:rPr>
        <w:t xml:space="preserve"> En</w:t>
      </w:r>
      <w:r>
        <w:rPr>
          <w:rFonts w:ascii="Times New Roman" w:hAnsi="Times New Roman" w:cs="Times New Roman"/>
          <w:sz w:val="24"/>
          <w:szCs w:val="24"/>
        </w:rPr>
        <w:t xml:space="preserve"> </w:t>
      </w:r>
      <w:r w:rsidRPr="00E704AC">
        <w:rPr>
          <w:rFonts w:ascii="Times New Roman" w:hAnsi="Times New Roman" w:cs="Times New Roman"/>
          <w:i/>
          <w:sz w:val="24"/>
          <w:szCs w:val="24"/>
        </w:rPr>
        <w:t>Aportes para el desarrollo humano</w:t>
      </w:r>
      <w:r w:rsidR="00E704AC">
        <w:rPr>
          <w:rFonts w:ascii="Times New Roman" w:hAnsi="Times New Roman" w:cs="Times New Roman"/>
          <w:sz w:val="24"/>
          <w:szCs w:val="24"/>
        </w:rPr>
        <w:t xml:space="preserve"> n° 8.</w:t>
      </w:r>
      <w:r w:rsidRPr="00D43F37">
        <w:rPr>
          <w:rFonts w:ascii="Times New Roman" w:hAnsi="Times New Roman" w:cs="Times New Roman"/>
          <w:sz w:val="24"/>
          <w:szCs w:val="24"/>
        </w:rPr>
        <w:t xml:space="preserve"> Buenos Aires, PNUD.</w:t>
      </w:r>
    </w:p>
    <w:p w:rsidR="003A36BE" w:rsidRPr="006E28D3"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6E28D3">
        <w:rPr>
          <w:rFonts w:ascii="Times New Roman" w:hAnsi="Times New Roman" w:cs="Times New Roman"/>
          <w:sz w:val="24"/>
          <w:szCs w:val="24"/>
        </w:rPr>
        <w:t xml:space="preserve">Pomares, J.; </w:t>
      </w:r>
      <w:proofErr w:type="spellStart"/>
      <w:r w:rsidRPr="006E28D3">
        <w:rPr>
          <w:rFonts w:ascii="Times New Roman" w:hAnsi="Times New Roman" w:cs="Times New Roman"/>
          <w:sz w:val="24"/>
          <w:szCs w:val="24"/>
        </w:rPr>
        <w:t>Gasparin</w:t>
      </w:r>
      <w:proofErr w:type="spellEnd"/>
      <w:r w:rsidRPr="006E28D3">
        <w:rPr>
          <w:rFonts w:ascii="Times New Roman" w:hAnsi="Times New Roman" w:cs="Times New Roman"/>
          <w:sz w:val="24"/>
          <w:szCs w:val="24"/>
        </w:rPr>
        <w:t xml:space="preserve">, J. y </w:t>
      </w:r>
      <w:proofErr w:type="spellStart"/>
      <w:r w:rsidRPr="006E28D3">
        <w:rPr>
          <w:rFonts w:ascii="Times New Roman" w:hAnsi="Times New Roman" w:cs="Times New Roman"/>
          <w:sz w:val="24"/>
          <w:szCs w:val="24"/>
        </w:rPr>
        <w:t>Deleersnyder</w:t>
      </w:r>
      <w:proofErr w:type="spellEnd"/>
      <w:r w:rsidRPr="006E28D3">
        <w:rPr>
          <w:rFonts w:ascii="Times New Roman" w:hAnsi="Times New Roman" w:cs="Times New Roman"/>
          <w:sz w:val="24"/>
          <w:szCs w:val="24"/>
        </w:rPr>
        <w:t>, D. (2013). Evolución y distribución del empleo público en el sector público nacional arge</w:t>
      </w:r>
      <w:r>
        <w:rPr>
          <w:rFonts w:ascii="Times New Roman" w:hAnsi="Times New Roman" w:cs="Times New Roman"/>
          <w:sz w:val="24"/>
          <w:szCs w:val="24"/>
        </w:rPr>
        <w:t>ntino. Una primera apro</w:t>
      </w:r>
      <w:r w:rsidR="00E704AC">
        <w:rPr>
          <w:rFonts w:ascii="Times New Roman" w:hAnsi="Times New Roman" w:cs="Times New Roman"/>
          <w:sz w:val="24"/>
          <w:szCs w:val="24"/>
        </w:rPr>
        <w:t>ximación</w:t>
      </w:r>
      <w:r>
        <w:rPr>
          <w:rFonts w:ascii="Times New Roman" w:hAnsi="Times New Roman" w:cs="Times New Roman"/>
          <w:sz w:val="24"/>
          <w:szCs w:val="24"/>
        </w:rPr>
        <w:t>.</w:t>
      </w:r>
      <w:r w:rsidR="00E704AC">
        <w:rPr>
          <w:rFonts w:ascii="Times New Roman" w:hAnsi="Times New Roman" w:cs="Times New Roman"/>
          <w:sz w:val="24"/>
          <w:szCs w:val="24"/>
        </w:rPr>
        <w:t xml:space="preserve"> En</w:t>
      </w:r>
      <w:r w:rsidRPr="006E28D3">
        <w:rPr>
          <w:rFonts w:ascii="Times New Roman" w:hAnsi="Times New Roman" w:cs="Times New Roman"/>
          <w:sz w:val="24"/>
          <w:szCs w:val="24"/>
        </w:rPr>
        <w:t xml:space="preserve"> </w:t>
      </w:r>
      <w:r w:rsidRPr="00E704AC">
        <w:rPr>
          <w:rFonts w:ascii="Times New Roman" w:hAnsi="Times New Roman" w:cs="Times New Roman"/>
          <w:i/>
          <w:sz w:val="24"/>
          <w:szCs w:val="24"/>
        </w:rPr>
        <w:t>Documento de Trabajo N°117</w:t>
      </w:r>
      <w:r w:rsidRPr="006E28D3">
        <w:rPr>
          <w:rFonts w:ascii="Times New Roman" w:hAnsi="Times New Roman" w:cs="Times New Roman"/>
          <w:sz w:val="24"/>
          <w:szCs w:val="24"/>
        </w:rPr>
        <w:t>. Buenos Aires: CIPPEC.</w:t>
      </w:r>
    </w:p>
    <w:p w:rsidR="003A36BE" w:rsidRPr="00391578"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391578">
        <w:rPr>
          <w:rFonts w:ascii="Times New Roman" w:hAnsi="Times New Roman" w:cs="Times New Roman"/>
          <w:sz w:val="24"/>
          <w:szCs w:val="24"/>
        </w:rPr>
        <w:t>Prebisch</w:t>
      </w:r>
      <w:proofErr w:type="spellEnd"/>
      <w:r w:rsidRPr="00391578">
        <w:rPr>
          <w:rFonts w:ascii="Times New Roman" w:hAnsi="Times New Roman" w:cs="Times New Roman"/>
          <w:sz w:val="24"/>
          <w:szCs w:val="24"/>
        </w:rPr>
        <w:t xml:space="preserve"> R. (1949): El desarrollo económico de la América Latina y algunos de sus principales problemas, Santiago de Chile, CEPAL.</w:t>
      </w:r>
    </w:p>
    <w:p w:rsidR="003A36BE" w:rsidRPr="00391578" w:rsidRDefault="00E704AC"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1976), </w:t>
      </w:r>
      <w:r w:rsidR="003A36BE" w:rsidRPr="00391578">
        <w:rPr>
          <w:rFonts w:ascii="Times New Roman" w:hAnsi="Times New Roman" w:cs="Times New Roman"/>
          <w:sz w:val="24"/>
          <w:szCs w:val="24"/>
        </w:rPr>
        <w:t>Cr</w:t>
      </w:r>
      <w:r>
        <w:rPr>
          <w:rFonts w:ascii="Times New Roman" w:hAnsi="Times New Roman" w:cs="Times New Roman"/>
          <w:sz w:val="24"/>
          <w:szCs w:val="24"/>
        </w:rPr>
        <w:t>ítica al capitalismo periférico</w:t>
      </w:r>
      <w:r w:rsidR="003A36BE" w:rsidRPr="00391578">
        <w:rPr>
          <w:rFonts w:ascii="Times New Roman" w:hAnsi="Times New Roman" w:cs="Times New Roman"/>
          <w:sz w:val="24"/>
          <w:szCs w:val="24"/>
        </w:rPr>
        <w:t>, Revista de la CEPAL, Nº 1, Santiago.</w:t>
      </w:r>
    </w:p>
    <w:p w:rsidR="003A36BE" w:rsidRPr="00DD0820"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DD0820">
        <w:rPr>
          <w:rFonts w:ascii="Times New Roman" w:hAnsi="Times New Roman" w:cs="Times New Roman"/>
          <w:sz w:val="24"/>
          <w:szCs w:val="24"/>
        </w:rPr>
        <w:t xml:space="preserve">PREALC-OIT (1978), </w:t>
      </w:r>
      <w:r w:rsidRPr="00C53B5D">
        <w:rPr>
          <w:rFonts w:ascii="Times New Roman" w:hAnsi="Times New Roman" w:cs="Times New Roman"/>
          <w:sz w:val="24"/>
          <w:szCs w:val="24"/>
        </w:rPr>
        <w:t>Sector Informal. Funcionamiento y Políticas</w:t>
      </w:r>
      <w:r w:rsidRPr="00DD0820">
        <w:rPr>
          <w:rFonts w:ascii="Times New Roman" w:hAnsi="Times New Roman" w:cs="Times New Roman"/>
          <w:sz w:val="24"/>
          <w:szCs w:val="24"/>
        </w:rPr>
        <w:t>, PREALC, OIT, Santiago de Chile.</w:t>
      </w:r>
    </w:p>
    <w:p w:rsidR="003A36BE" w:rsidRPr="00983163" w:rsidRDefault="00983163"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Rees, A. (1986), </w:t>
      </w:r>
      <w:proofErr w:type="gramStart"/>
      <w:r>
        <w:rPr>
          <w:rFonts w:ascii="Times New Roman" w:hAnsi="Times New Roman" w:cs="Times New Roman"/>
          <w:sz w:val="24"/>
          <w:szCs w:val="24"/>
          <w:lang w:val="en-US"/>
        </w:rPr>
        <w:t>An</w:t>
      </w:r>
      <w:proofErr w:type="gramEnd"/>
      <w:r>
        <w:rPr>
          <w:rFonts w:ascii="Times New Roman" w:hAnsi="Times New Roman" w:cs="Times New Roman"/>
          <w:sz w:val="24"/>
          <w:szCs w:val="24"/>
          <w:lang w:val="en-US"/>
        </w:rPr>
        <w:t xml:space="preserve"> essay on Youth Joblessness</w:t>
      </w:r>
      <w:r w:rsidR="003A36BE" w:rsidRPr="00737B27">
        <w:rPr>
          <w:rFonts w:ascii="Times New Roman" w:hAnsi="Times New Roman" w:cs="Times New Roman"/>
          <w:sz w:val="24"/>
          <w:szCs w:val="24"/>
          <w:lang w:val="en-US"/>
        </w:rPr>
        <w:t xml:space="preserve">, en Journal of Economic Literature, vol. </w:t>
      </w:r>
      <w:r w:rsidR="003A36BE" w:rsidRPr="00983163">
        <w:rPr>
          <w:rFonts w:ascii="Times New Roman" w:hAnsi="Times New Roman" w:cs="Times New Roman"/>
          <w:sz w:val="24"/>
          <w:szCs w:val="24"/>
          <w:lang w:val="en-US"/>
        </w:rPr>
        <w:t>XXIV, Pittsburgh: American Economic Association.</w:t>
      </w:r>
    </w:p>
    <w:p w:rsidR="003A36BE" w:rsidRPr="00D33C5D"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lang w:val="en-US"/>
        </w:rPr>
      </w:pPr>
      <w:proofErr w:type="spellStart"/>
      <w:r w:rsidRPr="00020770">
        <w:rPr>
          <w:rFonts w:ascii="Times New Roman" w:hAnsi="Times New Roman" w:cs="Times New Roman"/>
          <w:sz w:val="24"/>
          <w:szCs w:val="24"/>
        </w:rPr>
        <w:t>Repetto</w:t>
      </w:r>
      <w:proofErr w:type="spellEnd"/>
      <w:r w:rsidRPr="00020770">
        <w:rPr>
          <w:rFonts w:ascii="Times New Roman" w:hAnsi="Times New Roman" w:cs="Times New Roman"/>
          <w:sz w:val="24"/>
          <w:szCs w:val="24"/>
        </w:rPr>
        <w:t xml:space="preserve"> F. y F. Potenza </w:t>
      </w:r>
      <w:proofErr w:type="spellStart"/>
      <w:r w:rsidRPr="00020770">
        <w:rPr>
          <w:rFonts w:ascii="Times New Roman" w:hAnsi="Times New Roman" w:cs="Times New Roman"/>
          <w:sz w:val="24"/>
          <w:szCs w:val="24"/>
        </w:rPr>
        <w:t>Dal</w:t>
      </w:r>
      <w:proofErr w:type="spellEnd"/>
      <w:r w:rsidRPr="00020770">
        <w:rPr>
          <w:rFonts w:ascii="Times New Roman" w:hAnsi="Times New Roman" w:cs="Times New Roman"/>
          <w:sz w:val="24"/>
          <w:szCs w:val="24"/>
        </w:rPr>
        <w:t xml:space="preserve"> </w:t>
      </w:r>
      <w:proofErr w:type="spellStart"/>
      <w:r w:rsidRPr="00020770">
        <w:rPr>
          <w:rFonts w:ascii="Times New Roman" w:hAnsi="Times New Roman" w:cs="Times New Roman"/>
          <w:sz w:val="24"/>
          <w:szCs w:val="24"/>
        </w:rPr>
        <w:t>Masetto</w:t>
      </w:r>
      <w:proofErr w:type="spellEnd"/>
      <w:r w:rsidRPr="00020770">
        <w:rPr>
          <w:rFonts w:ascii="Times New Roman" w:hAnsi="Times New Roman" w:cs="Times New Roman"/>
          <w:sz w:val="24"/>
          <w:szCs w:val="24"/>
        </w:rPr>
        <w:t xml:space="preserve"> (2011) Protección social en la Argentina. </w:t>
      </w:r>
      <w:r w:rsidRPr="00D33C5D">
        <w:rPr>
          <w:rFonts w:ascii="Times New Roman" w:hAnsi="Times New Roman" w:cs="Times New Roman"/>
          <w:sz w:val="24"/>
          <w:szCs w:val="24"/>
          <w:lang w:val="en-US"/>
        </w:rPr>
        <w:t>CEPAL, Santiago de Ch</w:t>
      </w:r>
      <w:r>
        <w:rPr>
          <w:rFonts w:ascii="Times New Roman" w:hAnsi="Times New Roman" w:cs="Times New Roman"/>
          <w:sz w:val="24"/>
          <w:szCs w:val="24"/>
          <w:lang w:val="en-US"/>
        </w:rPr>
        <w:t xml:space="preserve">ile. </w:t>
      </w:r>
    </w:p>
    <w:p w:rsidR="003A36BE" w:rsidRPr="00DD0820"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DD0820">
        <w:rPr>
          <w:rFonts w:ascii="Times New Roman" w:hAnsi="Times New Roman" w:cs="Times New Roman"/>
          <w:sz w:val="24"/>
          <w:szCs w:val="24"/>
        </w:rPr>
        <w:t xml:space="preserve">Rose, J. (1998). Les </w:t>
      </w:r>
      <w:proofErr w:type="spellStart"/>
      <w:r w:rsidRPr="00DD0820">
        <w:rPr>
          <w:rFonts w:ascii="Times New Roman" w:hAnsi="Times New Roman" w:cs="Times New Roman"/>
          <w:sz w:val="24"/>
          <w:szCs w:val="24"/>
        </w:rPr>
        <w:t>jeunes</w:t>
      </w:r>
      <w:proofErr w:type="spellEnd"/>
      <w:r w:rsidRPr="00DD0820">
        <w:rPr>
          <w:rFonts w:ascii="Times New Roman" w:hAnsi="Times New Roman" w:cs="Times New Roman"/>
          <w:sz w:val="24"/>
          <w:szCs w:val="24"/>
        </w:rPr>
        <w:t xml:space="preserve"> </w:t>
      </w:r>
      <w:proofErr w:type="spellStart"/>
      <w:r w:rsidRPr="00DD0820">
        <w:rPr>
          <w:rFonts w:ascii="Times New Roman" w:hAnsi="Times New Roman" w:cs="Times New Roman"/>
          <w:sz w:val="24"/>
          <w:szCs w:val="24"/>
        </w:rPr>
        <w:t>face</w:t>
      </w:r>
      <w:proofErr w:type="spellEnd"/>
      <w:r w:rsidRPr="00DD0820">
        <w:rPr>
          <w:rFonts w:ascii="Times New Roman" w:hAnsi="Times New Roman" w:cs="Times New Roman"/>
          <w:sz w:val="24"/>
          <w:szCs w:val="24"/>
        </w:rPr>
        <w:t xml:space="preserve"> a </w:t>
      </w:r>
      <w:proofErr w:type="spellStart"/>
      <w:r w:rsidRPr="00DD0820">
        <w:rPr>
          <w:rFonts w:ascii="Times New Roman" w:hAnsi="Times New Roman" w:cs="Times New Roman"/>
          <w:sz w:val="24"/>
          <w:szCs w:val="24"/>
        </w:rPr>
        <w:t>l’emploi</w:t>
      </w:r>
      <w:proofErr w:type="spellEnd"/>
      <w:r w:rsidRPr="00DD0820">
        <w:rPr>
          <w:rFonts w:ascii="Times New Roman" w:hAnsi="Times New Roman" w:cs="Times New Roman"/>
          <w:sz w:val="24"/>
          <w:szCs w:val="24"/>
        </w:rPr>
        <w:t xml:space="preserve">, París: </w:t>
      </w:r>
      <w:proofErr w:type="spellStart"/>
      <w:r w:rsidRPr="00DD0820">
        <w:rPr>
          <w:rFonts w:ascii="Times New Roman" w:hAnsi="Times New Roman" w:cs="Times New Roman"/>
          <w:sz w:val="24"/>
          <w:szCs w:val="24"/>
        </w:rPr>
        <w:t>Desclée</w:t>
      </w:r>
      <w:proofErr w:type="spellEnd"/>
      <w:r w:rsidRPr="00DD0820">
        <w:rPr>
          <w:rFonts w:ascii="Times New Roman" w:hAnsi="Times New Roman" w:cs="Times New Roman"/>
          <w:sz w:val="24"/>
          <w:szCs w:val="24"/>
        </w:rPr>
        <w:t xml:space="preserve"> de </w:t>
      </w:r>
      <w:proofErr w:type="spellStart"/>
      <w:r w:rsidRPr="00DD0820">
        <w:rPr>
          <w:rFonts w:ascii="Times New Roman" w:hAnsi="Times New Roman" w:cs="Times New Roman"/>
          <w:sz w:val="24"/>
          <w:szCs w:val="24"/>
        </w:rPr>
        <w:t>Brouwer</w:t>
      </w:r>
      <w:proofErr w:type="spellEnd"/>
      <w:r w:rsidRPr="00DD0820">
        <w:rPr>
          <w:rFonts w:ascii="Times New Roman" w:hAnsi="Times New Roman" w:cs="Times New Roman"/>
          <w:sz w:val="24"/>
          <w:szCs w:val="24"/>
        </w:rPr>
        <w:t>.</w:t>
      </w:r>
    </w:p>
    <w:p w:rsidR="003A36BE" w:rsidRPr="00DD0820"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DD0820">
        <w:rPr>
          <w:rFonts w:ascii="Times New Roman" w:hAnsi="Times New Roman" w:cs="Times New Roman"/>
          <w:sz w:val="24"/>
          <w:szCs w:val="24"/>
        </w:rPr>
        <w:t>Rubio, A (2002): Empleo y Desempleo en Enfoques Comparados de Política Económica. El Sistema de Convertibilidad en los Noventa, Instituto para la Integración del Saber, Departamento de Investigación Institucional, Universidad Católica Argentina.</w:t>
      </w:r>
    </w:p>
    <w:p w:rsidR="003A36BE" w:rsidRPr="00DD0820" w:rsidRDefault="00983163"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Salvia A. y A. Miranda (1998) </w:t>
      </w:r>
      <w:r w:rsidR="003A36BE" w:rsidRPr="00DD0820">
        <w:rPr>
          <w:rFonts w:ascii="Times New Roman" w:hAnsi="Times New Roman" w:cs="Times New Roman"/>
          <w:sz w:val="24"/>
          <w:szCs w:val="24"/>
        </w:rPr>
        <w:t xml:space="preserve">La exclusión de </w:t>
      </w:r>
      <w:r>
        <w:rPr>
          <w:rFonts w:ascii="Times New Roman" w:hAnsi="Times New Roman" w:cs="Times New Roman"/>
          <w:sz w:val="24"/>
          <w:szCs w:val="24"/>
        </w:rPr>
        <w:t>los jóvenes en la década del 90</w:t>
      </w:r>
      <w:r w:rsidR="003A36BE" w:rsidRPr="00DD0820">
        <w:rPr>
          <w:rFonts w:ascii="Times New Roman" w:hAnsi="Times New Roman" w:cs="Times New Roman"/>
          <w:sz w:val="24"/>
          <w:szCs w:val="24"/>
        </w:rPr>
        <w:t xml:space="preserve">. En </w:t>
      </w:r>
      <w:r w:rsidR="003A36BE" w:rsidRPr="00983163">
        <w:rPr>
          <w:rFonts w:ascii="Times New Roman" w:hAnsi="Times New Roman" w:cs="Times New Roman"/>
          <w:i/>
          <w:sz w:val="24"/>
          <w:szCs w:val="24"/>
        </w:rPr>
        <w:t>Papeles de Población</w:t>
      </w:r>
      <w:r w:rsidR="003A36BE" w:rsidRPr="00DD0820">
        <w:rPr>
          <w:rFonts w:ascii="Times New Roman" w:hAnsi="Times New Roman" w:cs="Times New Roman"/>
          <w:sz w:val="24"/>
          <w:szCs w:val="24"/>
        </w:rPr>
        <w:t xml:space="preserve">, Año 4, No. 16, abril-junio 1998. </w:t>
      </w:r>
      <w:r w:rsidRPr="00DD0820">
        <w:rPr>
          <w:rFonts w:ascii="Times New Roman" w:hAnsi="Times New Roman" w:cs="Times New Roman"/>
          <w:sz w:val="24"/>
          <w:szCs w:val="24"/>
        </w:rPr>
        <w:t>Toluca, México</w:t>
      </w:r>
      <w:r>
        <w:rPr>
          <w:rFonts w:ascii="Times New Roman" w:hAnsi="Times New Roman" w:cs="Times New Roman"/>
          <w:sz w:val="24"/>
          <w:szCs w:val="24"/>
        </w:rPr>
        <w:t xml:space="preserve">: </w:t>
      </w:r>
      <w:r w:rsidR="003A36BE" w:rsidRPr="00DD0820">
        <w:rPr>
          <w:rFonts w:ascii="Times New Roman" w:hAnsi="Times New Roman" w:cs="Times New Roman"/>
          <w:sz w:val="24"/>
          <w:szCs w:val="24"/>
        </w:rPr>
        <w:t>Centro de Investigación y Estudios Avanz</w:t>
      </w:r>
      <w:r>
        <w:rPr>
          <w:rFonts w:ascii="Times New Roman" w:hAnsi="Times New Roman" w:cs="Times New Roman"/>
          <w:sz w:val="24"/>
          <w:szCs w:val="24"/>
        </w:rPr>
        <w:t>ados de la Población de la UAEM</w:t>
      </w:r>
      <w:r w:rsidR="003A36BE" w:rsidRPr="00DD0820">
        <w:rPr>
          <w:rFonts w:ascii="Times New Roman" w:hAnsi="Times New Roman" w:cs="Times New Roman"/>
          <w:sz w:val="24"/>
          <w:szCs w:val="24"/>
        </w:rPr>
        <w:t>.</w:t>
      </w:r>
    </w:p>
    <w:p w:rsidR="003A36BE" w:rsidRPr="00EA5250"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EA5250">
        <w:rPr>
          <w:rFonts w:ascii="Times New Roman" w:hAnsi="Times New Roman" w:cs="Times New Roman"/>
          <w:sz w:val="24"/>
          <w:szCs w:val="24"/>
        </w:rPr>
        <w:t>Salvia, A. y Tuñón, I. (200</w:t>
      </w:r>
      <w:r>
        <w:rPr>
          <w:rFonts w:ascii="Times New Roman" w:hAnsi="Times New Roman" w:cs="Times New Roman"/>
          <w:sz w:val="24"/>
          <w:szCs w:val="24"/>
        </w:rPr>
        <w:t>2</w:t>
      </w:r>
      <w:r w:rsidRPr="00EA5250">
        <w:rPr>
          <w:rFonts w:ascii="Times New Roman" w:hAnsi="Times New Roman" w:cs="Times New Roman"/>
          <w:sz w:val="24"/>
          <w:szCs w:val="24"/>
        </w:rPr>
        <w:t xml:space="preserve">): Los jóvenes trabajadores frente a la educación, el desempleo y el deterioro social en la Argentina. </w:t>
      </w:r>
      <w:r w:rsidR="00983163">
        <w:rPr>
          <w:rFonts w:ascii="Times New Roman" w:hAnsi="Times New Roman" w:cs="Times New Roman"/>
          <w:sz w:val="24"/>
          <w:szCs w:val="24"/>
        </w:rPr>
        <w:t xml:space="preserve">En </w:t>
      </w:r>
      <w:r w:rsidR="00983163" w:rsidRPr="00983163">
        <w:rPr>
          <w:rFonts w:ascii="Times New Roman" w:hAnsi="Times New Roman" w:cs="Times New Roman"/>
          <w:i/>
          <w:sz w:val="24"/>
          <w:szCs w:val="24"/>
        </w:rPr>
        <w:t xml:space="preserve">Jóvenes trabajadores en el </w:t>
      </w:r>
      <w:proofErr w:type="spellStart"/>
      <w:r w:rsidR="00983163" w:rsidRPr="00983163">
        <w:rPr>
          <w:rFonts w:ascii="Times New Roman" w:hAnsi="Times New Roman" w:cs="Times New Roman"/>
          <w:i/>
          <w:sz w:val="24"/>
          <w:szCs w:val="24"/>
        </w:rPr>
        <w:t>Mercusur</w:t>
      </w:r>
      <w:proofErr w:type="spellEnd"/>
      <w:r w:rsidR="00983163" w:rsidRPr="00983163">
        <w:rPr>
          <w:rFonts w:ascii="Times New Roman" w:hAnsi="Times New Roman" w:cs="Times New Roman"/>
          <w:i/>
          <w:sz w:val="24"/>
          <w:szCs w:val="24"/>
        </w:rPr>
        <w:t xml:space="preserve"> y Chile: Causas, Consecuencias y Políticas</w:t>
      </w:r>
      <w:r w:rsidR="00983163">
        <w:rPr>
          <w:rFonts w:ascii="Times New Roman" w:hAnsi="Times New Roman" w:cs="Times New Roman"/>
          <w:sz w:val="24"/>
          <w:szCs w:val="24"/>
        </w:rPr>
        <w:t>:</w:t>
      </w:r>
      <w:r w:rsidR="00983163" w:rsidRPr="00983163">
        <w:rPr>
          <w:rFonts w:ascii="Times New Roman" w:hAnsi="Times New Roman" w:cs="Times New Roman"/>
          <w:sz w:val="24"/>
          <w:szCs w:val="24"/>
        </w:rPr>
        <w:t xml:space="preserve"> </w:t>
      </w:r>
      <w:r w:rsidRPr="00EA5250">
        <w:rPr>
          <w:rFonts w:ascii="Times New Roman" w:hAnsi="Times New Roman" w:cs="Times New Roman"/>
          <w:sz w:val="24"/>
          <w:szCs w:val="24"/>
        </w:rPr>
        <w:t>Friedr</w:t>
      </w:r>
      <w:r w:rsidR="00983163">
        <w:rPr>
          <w:rFonts w:ascii="Times New Roman" w:hAnsi="Times New Roman" w:cs="Times New Roman"/>
          <w:sz w:val="24"/>
          <w:szCs w:val="24"/>
        </w:rPr>
        <w:t xml:space="preserve">ich Ebert para la Serie </w:t>
      </w:r>
      <w:proofErr w:type="spellStart"/>
      <w:r w:rsidR="00983163">
        <w:rPr>
          <w:rFonts w:ascii="Times New Roman" w:hAnsi="Times New Roman" w:cs="Times New Roman"/>
          <w:sz w:val="24"/>
          <w:szCs w:val="24"/>
        </w:rPr>
        <w:t>Prosur</w:t>
      </w:r>
      <w:proofErr w:type="spellEnd"/>
      <w:r w:rsidRPr="00EA5250">
        <w:rPr>
          <w:rFonts w:ascii="Times New Roman" w:hAnsi="Times New Roman" w:cs="Times New Roman"/>
          <w:sz w:val="24"/>
          <w:szCs w:val="24"/>
        </w:rPr>
        <w:t>, el cual fue presentado en Santiago de Chile</w:t>
      </w:r>
      <w:r w:rsidR="00983163">
        <w:rPr>
          <w:rFonts w:ascii="Times New Roman" w:hAnsi="Times New Roman" w:cs="Times New Roman"/>
          <w:sz w:val="24"/>
          <w:szCs w:val="24"/>
        </w:rPr>
        <w:t>.</w:t>
      </w:r>
    </w:p>
    <w:p w:rsidR="003A36BE" w:rsidRPr="00DD0820"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DD0820">
        <w:rPr>
          <w:rFonts w:ascii="Times New Roman" w:hAnsi="Times New Roman" w:cs="Times New Roman"/>
          <w:sz w:val="24"/>
          <w:szCs w:val="24"/>
        </w:rPr>
        <w:t xml:space="preserve">________________ (2005) </w:t>
      </w:r>
      <w:r w:rsidRPr="00C53B5D">
        <w:rPr>
          <w:rFonts w:ascii="Times New Roman" w:hAnsi="Times New Roman" w:cs="Times New Roman"/>
          <w:sz w:val="24"/>
          <w:szCs w:val="24"/>
        </w:rPr>
        <w:t xml:space="preserve">Una deuda social pendiente: la exclusión juvenil frente a las </w:t>
      </w:r>
      <w:r w:rsidR="00983163">
        <w:rPr>
          <w:rFonts w:ascii="Times New Roman" w:hAnsi="Times New Roman" w:cs="Times New Roman"/>
          <w:sz w:val="24"/>
          <w:szCs w:val="24"/>
        </w:rPr>
        <w:t>políticas fallidas de inclusión</w:t>
      </w:r>
      <w:r w:rsidRPr="00C53B5D">
        <w:rPr>
          <w:rFonts w:ascii="Times New Roman" w:hAnsi="Times New Roman" w:cs="Times New Roman"/>
          <w:sz w:val="24"/>
          <w:szCs w:val="24"/>
        </w:rPr>
        <w:t xml:space="preserve"> Seminario Efectos Distributivos del gasto social en educación y formación de trabajadores 7 a 9 de noviembre de 2005</w:t>
      </w:r>
    </w:p>
    <w:p w:rsidR="003A36BE" w:rsidRPr="00DD0820" w:rsidRDefault="00983163"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________________ (2007) </w:t>
      </w:r>
      <w:r w:rsidR="003A36BE" w:rsidRPr="00DD0820">
        <w:rPr>
          <w:rFonts w:ascii="Times New Roman" w:hAnsi="Times New Roman" w:cs="Times New Roman"/>
          <w:sz w:val="24"/>
          <w:szCs w:val="24"/>
        </w:rPr>
        <w:t xml:space="preserve">Diferenciales de Género en el Ingreso Horario en el </w:t>
      </w:r>
      <w:r w:rsidR="005316BB">
        <w:rPr>
          <w:rFonts w:ascii="Times New Roman" w:hAnsi="Times New Roman" w:cs="Times New Roman"/>
          <w:sz w:val="24"/>
          <w:szCs w:val="24"/>
        </w:rPr>
        <w:t>GBA</w:t>
      </w:r>
      <w:r w:rsidR="003A36BE" w:rsidRPr="00DD0820">
        <w:rPr>
          <w:rFonts w:ascii="Times New Roman" w:hAnsi="Times New Roman" w:cs="Times New Roman"/>
          <w:sz w:val="24"/>
          <w:szCs w:val="24"/>
        </w:rPr>
        <w:t>: una desigualdad que perdura a compás de la fe</w:t>
      </w:r>
      <w:r>
        <w:rPr>
          <w:rFonts w:ascii="Times New Roman" w:hAnsi="Times New Roman" w:cs="Times New Roman"/>
          <w:sz w:val="24"/>
          <w:szCs w:val="24"/>
        </w:rPr>
        <w:t>minización de la oferta laboral</w:t>
      </w:r>
      <w:r w:rsidR="003A36BE" w:rsidRPr="00DD0820">
        <w:rPr>
          <w:rFonts w:ascii="Times New Roman" w:hAnsi="Times New Roman" w:cs="Times New Roman"/>
          <w:sz w:val="24"/>
          <w:szCs w:val="24"/>
        </w:rPr>
        <w:t xml:space="preserve">. </w:t>
      </w:r>
      <w:r>
        <w:rPr>
          <w:rFonts w:ascii="Times New Roman" w:hAnsi="Times New Roman" w:cs="Times New Roman"/>
          <w:sz w:val="24"/>
          <w:szCs w:val="24"/>
        </w:rPr>
        <w:t xml:space="preserve">En </w:t>
      </w:r>
      <w:r w:rsidR="003A36BE" w:rsidRPr="00983163">
        <w:rPr>
          <w:rFonts w:ascii="Times New Roman" w:hAnsi="Times New Roman" w:cs="Times New Roman"/>
          <w:i/>
          <w:sz w:val="24"/>
          <w:szCs w:val="24"/>
        </w:rPr>
        <w:t xml:space="preserve">Género y Trabajo: Estudios de las asimetrías </w:t>
      </w:r>
      <w:proofErr w:type="spellStart"/>
      <w:r w:rsidR="003A36BE" w:rsidRPr="00983163">
        <w:rPr>
          <w:rFonts w:ascii="Times New Roman" w:hAnsi="Times New Roman" w:cs="Times New Roman"/>
          <w:i/>
          <w:sz w:val="24"/>
          <w:szCs w:val="24"/>
        </w:rPr>
        <w:t>intergéneros</w:t>
      </w:r>
      <w:proofErr w:type="spellEnd"/>
      <w:r w:rsidR="003A36BE" w:rsidRPr="00983163">
        <w:rPr>
          <w:rFonts w:ascii="Times New Roman" w:hAnsi="Times New Roman" w:cs="Times New Roman"/>
          <w:i/>
          <w:sz w:val="24"/>
          <w:szCs w:val="24"/>
        </w:rPr>
        <w:t xml:space="preserve"> e </w:t>
      </w:r>
      <w:proofErr w:type="spellStart"/>
      <w:r w:rsidR="003A36BE" w:rsidRPr="00983163">
        <w:rPr>
          <w:rFonts w:ascii="Times New Roman" w:hAnsi="Times New Roman" w:cs="Times New Roman"/>
          <w:i/>
          <w:sz w:val="24"/>
          <w:szCs w:val="24"/>
        </w:rPr>
        <w:t>intragéneros</w:t>
      </w:r>
      <w:proofErr w:type="spellEnd"/>
      <w:r w:rsidR="003A36BE" w:rsidRPr="00983163">
        <w:rPr>
          <w:rFonts w:ascii="Times New Roman" w:hAnsi="Times New Roman" w:cs="Times New Roman"/>
          <w:i/>
          <w:sz w:val="24"/>
          <w:szCs w:val="24"/>
        </w:rPr>
        <w:t xml:space="preserve"> en áreas metropolitanas de la Argentina. 1992- 2002</w:t>
      </w:r>
      <w:r>
        <w:rPr>
          <w:rFonts w:ascii="Times New Roman" w:hAnsi="Times New Roman" w:cs="Times New Roman"/>
          <w:i/>
          <w:sz w:val="24"/>
          <w:szCs w:val="24"/>
        </w:rPr>
        <w:t xml:space="preserve"> </w:t>
      </w:r>
      <w:r w:rsidRPr="00DD0820">
        <w:rPr>
          <w:rFonts w:ascii="Times New Roman" w:hAnsi="Times New Roman" w:cs="Times New Roman"/>
          <w:sz w:val="24"/>
          <w:szCs w:val="24"/>
        </w:rPr>
        <w:t xml:space="preserve">Salvia A., </w:t>
      </w:r>
      <w:proofErr w:type="spellStart"/>
      <w:r w:rsidRPr="00DD0820">
        <w:rPr>
          <w:rFonts w:ascii="Times New Roman" w:hAnsi="Times New Roman" w:cs="Times New Roman"/>
          <w:sz w:val="24"/>
          <w:szCs w:val="24"/>
        </w:rPr>
        <w:t>Egu</w:t>
      </w:r>
      <w:r>
        <w:rPr>
          <w:rFonts w:ascii="Times New Roman" w:hAnsi="Times New Roman" w:cs="Times New Roman"/>
          <w:sz w:val="24"/>
          <w:szCs w:val="24"/>
        </w:rPr>
        <w:t>ía</w:t>
      </w:r>
      <w:proofErr w:type="spellEnd"/>
      <w:r>
        <w:rPr>
          <w:rFonts w:ascii="Times New Roman" w:hAnsi="Times New Roman" w:cs="Times New Roman"/>
          <w:sz w:val="24"/>
          <w:szCs w:val="24"/>
        </w:rPr>
        <w:t xml:space="preserve"> A. y </w:t>
      </w:r>
      <w:proofErr w:type="spellStart"/>
      <w:r>
        <w:rPr>
          <w:rFonts w:ascii="Times New Roman" w:hAnsi="Times New Roman" w:cs="Times New Roman"/>
          <w:sz w:val="24"/>
          <w:szCs w:val="24"/>
        </w:rPr>
        <w:t>Piovani</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comp.</w:t>
      </w:r>
      <w:proofErr w:type="spellEnd"/>
      <w:r w:rsidRPr="00DD0820">
        <w:rPr>
          <w:rFonts w:ascii="Times New Roman" w:hAnsi="Times New Roman" w:cs="Times New Roman"/>
          <w:sz w:val="24"/>
          <w:szCs w:val="24"/>
        </w:rPr>
        <w:t>)</w:t>
      </w:r>
      <w:r w:rsidR="003A36BE" w:rsidRPr="00DD0820">
        <w:rPr>
          <w:rFonts w:ascii="Times New Roman" w:hAnsi="Times New Roman" w:cs="Times New Roman"/>
          <w:sz w:val="24"/>
          <w:szCs w:val="24"/>
        </w:rPr>
        <w:t xml:space="preserve"> Buenos Aires: EDUNTREF.</w:t>
      </w:r>
    </w:p>
    <w:p w:rsidR="003A36BE" w:rsidRPr="00DD0820"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DD0820">
        <w:rPr>
          <w:rFonts w:ascii="Times New Roman" w:hAnsi="Times New Roman" w:cs="Times New Roman"/>
          <w:sz w:val="24"/>
          <w:szCs w:val="24"/>
        </w:rPr>
        <w:t xml:space="preserve">Salvia, A (2008). Jóvenes promesas. Trabajo, educación y exclusión social de jóvenes pobres en la Argentina. Buenos Aires: Miño y </w:t>
      </w:r>
      <w:proofErr w:type="spellStart"/>
      <w:r w:rsidRPr="00DD0820">
        <w:rPr>
          <w:rFonts w:ascii="Times New Roman" w:hAnsi="Times New Roman" w:cs="Times New Roman"/>
          <w:sz w:val="24"/>
          <w:szCs w:val="24"/>
        </w:rPr>
        <w:t>Davila</w:t>
      </w:r>
      <w:proofErr w:type="spellEnd"/>
      <w:r w:rsidRPr="00DD0820">
        <w:rPr>
          <w:rFonts w:ascii="Times New Roman" w:hAnsi="Times New Roman" w:cs="Times New Roman"/>
          <w:sz w:val="24"/>
          <w:szCs w:val="24"/>
        </w:rPr>
        <w:t>.</w:t>
      </w:r>
    </w:p>
    <w:p w:rsidR="003A36BE" w:rsidRPr="002966D4"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Salvia, A</w:t>
      </w:r>
      <w:r w:rsidRPr="002966D4">
        <w:rPr>
          <w:rFonts w:ascii="Times New Roman" w:hAnsi="Times New Roman" w:cs="Times New Roman"/>
          <w:sz w:val="24"/>
          <w:szCs w:val="24"/>
        </w:rPr>
        <w:t xml:space="preserve"> (2012). La trampa neoliberal. Un estudio sobre los cambios en la heterogeneidad estructural y la distribución del ingreso en la Argentina: 1990-2003. Buenos Aires: EUDEBA. </w:t>
      </w:r>
    </w:p>
    <w:p w:rsidR="003A36BE" w:rsidRPr="00DD0820" w:rsidRDefault="00983163"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Salvia, A. (2013) </w:t>
      </w:r>
      <w:r w:rsidR="003A36BE" w:rsidRPr="00DD0820">
        <w:rPr>
          <w:rFonts w:ascii="Times New Roman" w:hAnsi="Times New Roman" w:cs="Times New Roman"/>
          <w:sz w:val="24"/>
          <w:szCs w:val="24"/>
        </w:rPr>
        <w:t>Juventudes, problemas de empleo y riesgos de exclusión social: el actual escenario d</w:t>
      </w:r>
      <w:r>
        <w:rPr>
          <w:rFonts w:ascii="Times New Roman" w:hAnsi="Times New Roman" w:cs="Times New Roman"/>
          <w:sz w:val="24"/>
          <w:szCs w:val="24"/>
        </w:rPr>
        <w:t>e crisis mundial en la Argentina</w:t>
      </w:r>
      <w:r w:rsidR="003A36BE" w:rsidRPr="00DD0820">
        <w:rPr>
          <w:rFonts w:ascii="Times New Roman" w:hAnsi="Times New Roman" w:cs="Times New Roman"/>
          <w:sz w:val="24"/>
          <w:szCs w:val="24"/>
        </w:rPr>
        <w:t xml:space="preserve">, en </w:t>
      </w:r>
      <w:r w:rsidR="003A36BE" w:rsidRPr="00983163">
        <w:rPr>
          <w:rFonts w:ascii="Times New Roman" w:hAnsi="Times New Roman" w:cs="Times New Roman"/>
          <w:i/>
          <w:sz w:val="24"/>
          <w:szCs w:val="24"/>
        </w:rPr>
        <w:t>Biblioteca Digital Fundación Friedrich Ebert</w:t>
      </w:r>
      <w:r w:rsidR="003A36BE" w:rsidRPr="00DD0820">
        <w:rPr>
          <w:rFonts w:ascii="Times New Roman" w:hAnsi="Times New Roman" w:cs="Times New Roman"/>
          <w:sz w:val="24"/>
          <w:szCs w:val="24"/>
        </w:rPr>
        <w:t xml:space="preserve">. </w:t>
      </w:r>
      <w:proofErr w:type="spellStart"/>
      <w:r w:rsidR="003A36BE" w:rsidRPr="00DD0820">
        <w:rPr>
          <w:rFonts w:ascii="Times New Roman" w:hAnsi="Times New Roman" w:cs="Times New Roman"/>
          <w:sz w:val="24"/>
          <w:szCs w:val="24"/>
        </w:rPr>
        <w:t>Berlin</w:t>
      </w:r>
      <w:proofErr w:type="spellEnd"/>
      <w:r w:rsidR="003A36BE" w:rsidRPr="00DD0820">
        <w:rPr>
          <w:rFonts w:ascii="Times New Roman" w:hAnsi="Times New Roman" w:cs="Times New Roman"/>
          <w:sz w:val="24"/>
          <w:szCs w:val="24"/>
        </w:rPr>
        <w:t>: Friedrich-Ebert-</w:t>
      </w:r>
      <w:proofErr w:type="spellStart"/>
      <w:r w:rsidR="003A36BE" w:rsidRPr="00DD0820">
        <w:rPr>
          <w:rFonts w:ascii="Times New Roman" w:hAnsi="Times New Roman" w:cs="Times New Roman"/>
          <w:sz w:val="24"/>
          <w:szCs w:val="24"/>
        </w:rPr>
        <w:t>Stiftung</w:t>
      </w:r>
      <w:proofErr w:type="spellEnd"/>
      <w:r w:rsidR="003A36BE" w:rsidRPr="00DD0820">
        <w:rPr>
          <w:rFonts w:ascii="Times New Roman" w:hAnsi="Times New Roman" w:cs="Times New Roman"/>
          <w:sz w:val="24"/>
          <w:szCs w:val="24"/>
        </w:rPr>
        <w:t xml:space="preserve">. </w:t>
      </w:r>
    </w:p>
    <w:p w:rsidR="003A36BE"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DD0820">
        <w:rPr>
          <w:rFonts w:ascii="Times New Roman" w:hAnsi="Times New Roman" w:cs="Times New Roman"/>
          <w:sz w:val="24"/>
          <w:szCs w:val="24"/>
        </w:rPr>
        <w:t>S</w:t>
      </w:r>
      <w:r w:rsidR="00983163">
        <w:rPr>
          <w:rFonts w:ascii="Times New Roman" w:hAnsi="Times New Roman" w:cs="Times New Roman"/>
          <w:sz w:val="24"/>
          <w:szCs w:val="24"/>
        </w:rPr>
        <w:t xml:space="preserve">alvia A, Vera J y </w:t>
      </w:r>
      <w:proofErr w:type="spellStart"/>
      <w:r w:rsidR="00983163">
        <w:rPr>
          <w:rFonts w:ascii="Times New Roman" w:hAnsi="Times New Roman" w:cs="Times New Roman"/>
          <w:sz w:val="24"/>
          <w:szCs w:val="24"/>
        </w:rPr>
        <w:t>Poy</w:t>
      </w:r>
      <w:proofErr w:type="spellEnd"/>
      <w:r w:rsidR="00983163">
        <w:rPr>
          <w:rFonts w:ascii="Times New Roman" w:hAnsi="Times New Roman" w:cs="Times New Roman"/>
          <w:sz w:val="24"/>
          <w:szCs w:val="24"/>
        </w:rPr>
        <w:t xml:space="preserve"> S (2015) </w:t>
      </w:r>
      <w:r w:rsidRPr="00DD0820">
        <w:rPr>
          <w:rFonts w:ascii="Times New Roman" w:hAnsi="Times New Roman" w:cs="Times New Roman"/>
          <w:sz w:val="24"/>
          <w:szCs w:val="24"/>
        </w:rPr>
        <w:t>Cambios y continuidades en la estructu</w:t>
      </w:r>
      <w:r w:rsidR="00983163">
        <w:rPr>
          <w:rFonts w:ascii="Times New Roman" w:hAnsi="Times New Roman" w:cs="Times New Roman"/>
          <w:sz w:val="24"/>
          <w:szCs w:val="24"/>
        </w:rPr>
        <w:t>ra ocupacional urbana argentina</w:t>
      </w:r>
      <w:r w:rsidRPr="00DD0820">
        <w:rPr>
          <w:rFonts w:ascii="Times New Roman" w:hAnsi="Times New Roman" w:cs="Times New Roman"/>
          <w:sz w:val="24"/>
          <w:szCs w:val="24"/>
        </w:rPr>
        <w:t xml:space="preserve"> </w:t>
      </w:r>
      <w:r w:rsidRPr="00983163">
        <w:rPr>
          <w:rFonts w:ascii="Times New Roman" w:hAnsi="Times New Roman" w:cs="Times New Roman"/>
          <w:i/>
          <w:sz w:val="24"/>
          <w:szCs w:val="24"/>
        </w:rPr>
        <w:t>en Hora de balance: proceso de acumulación, mercado de trabajo y bienestar. Argentina, 2002-2014</w:t>
      </w:r>
      <w:r w:rsidRPr="00DD0820">
        <w:rPr>
          <w:rFonts w:ascii="Times New Roman" w:hAnsi="Times New Roman" w:cs="Times New Roman"/>
          <w:sz w:val="24"/>
          <w:szCs w:val="24"/>
        </w:rPr>
        <w:t xml:space="preserve">. </w:t>
      </w:r>
      <w:proofErr w:type="spellStart"/>
      <w:r w:rsidRPr="00DD0820">
        <w:rPr>
          <w:rFonts w:ascii="Times New Roman" w:hAnsi="Times New Roman" w:cs="Times New Roman"/>
          <w:sz w:val="24"/>
          <w:szCs w:val="24"/>
        </w:rPr>
        <w:t>Lindenboim</w:t>
      </w:r>
      <w:proofErr w:type="spellEnd"/>
      <w:r w:rsidRPr="00DD0820">
        <w:rPr>
          <w:rFonts w:ascii="Times New Roman" w:hAnsi="Times New Roman" w:cs="Times New Roman"/>
          <w:sz w:val="24"/>
          <w:szCs w:val="24"/>
        </w:rPr>
        <w:t xml:space="preserve"> y Salvia (</w:t>
      </w:r>
      <w:proofErr w:type="spellStart"/>
      <w:r w:rsidRPr="00DD0820">
        <w:rPr>
          <w:rFonts w:ascii="Times New Roman" w:hAnsi="Times New Roman" w:cs="Times New Roman"/>
          <w:sz w:val="24"/>
          <w:szCs w:val="24"/>
        </w:rPr>
        <w:t>comp.</w:t>
      </w:r>
      <w:proofErr w:type="spellEnd"/>
      <w:r w:rsidRPr="00DD0820">
        <w:rPr>
          <w:rFonts w:ascii="Times New Roman" w:hAnsi="Times New Roman" w:cs="Times New Roman"/>
          <w:sz w:val="24"/>
          <w:szCs w:val="24"/>
        </w:rPr>
        <w:t>)</w:t>
      </w:r>
      <w:r w:rsidR="00983163">
        <w:rPr>
          <w:rFonts w:ascii="Times New Roman" w:hAnsi="Times New Roman" w:cs="Times New Roman"/>
          <w:sz w:val="24"/>
          <w:szCs w:val="24"/>
        </w:rPr>
        <w:t>. Buenos Aires:</w:t>
      </w:r>
      <w:r w:rsidRPr="00DD0820">
        <w:rPr>
          <w:rFonts w:ascii="Times New Roman" w:hAnsi="Times New Roman" w:cs="Times New Roman"/>
          <w:sz w:val="24"/>
          <w:szCs w:val="24"/>
        </w:rPr>
        <w:t xml:space="preserve"> </w:t>
      </w:r>
      <w:proofErr w:type="spellStart"/>
      <w:r w:rsidRPr="00DD0820">
        <w:rPr>
          <w:rFonts w:ascii="Times New Roman" w:hAnsi="Times New Roman" w:cs="Times New Roman"/>
          <w:sz w:val="24"/>
          <w:szCs w:val="24"/>
        </w:rPr>
        <w:t>Eudeba</w:t>
      </w:r>
      <w:proofErr w:type="spellEnd"/>
      <w:r w:rsidRPr="00DD0820">
        <w:rPr>
          <w:rFonts w:ascii="Times New Roman" w:hAnsi="Times New Roman" w:cs="Times New Roman"/>
          <w:sz w:val="24"/>
          <w:szCs w:val="24"/>
        </w:rPr>
        <w:t xml:space="preserve">. </w:t>
      </w:r>
    </w:p>
    <w:p w:rsidR="003A36BE" w:rsidRPr="00DD0820" w:rsidRDefault="00983163"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Saraví</w:t>
      </w:r>
      <w:proofErr w:type="spellEnd"/>
      <w:r>
        <w:rPr>
          <w:rFonts w:ascii="Times New Roman" w:hAnsi="Times New Roman" w:cs="Times New Roman"/>
          <w:sz w:val="24"/>
          <w:szCs w:val="24"/>
        </w:rPr>
        <w:t>, Gonzalo (</w:t>
      </w:r>
      <w:r w:rsidR="003A36BE" w:rsidRPr="00271929">
        <w:rPr>
          <w:rFonts w:ascii="Times New Roman" w:hAnsi="Times New Roman" w:cs="Times New Roman"/>
          <w:sz w:val="24"/>
          <w:szCs w:val="24"/>
        </w:rPr>
        <w:t>2009</w:t>
      </w:r>
      <w:r>
        <w:rPr>
          <w:rFonts w:ascii="Times New Roman" w:hAnsi="Times New Roman" w:cs="Times New Roman"/>
          <w:sz w:val="24"/>
          <w:szCs w:val="24"/>
        </w:rPr>
        <w:t>)</w:t>
      </w:r>
      <w:r w:rsidR="003A36BE" w:rsidRPr="00271929">
        <w:rPr>
          <w:rFonts w:ascii="Times New Roman" w:hAnsi="Times New Roman" w:cs="Times New Roman"/>
          <w:sz w:val="24"/>
          <w:szCs w:val="24"/>
        </w:rPr>
        <w:t xml:space="preserve">. </w:t>
      </w:r>
      <w:r w:rsidRPr="00271929">
        <w:rPr>
          <w:rFonts w:ascii="Times New Roman" w:hAnsi="Times New Roman" w:cs="Times New Roman"/>
          <w:sz w:val="24"/>
          <w:szCs w:val="24"/>
        </w:rPr>
        <w:t>Desigualdad y exclusión en la transición a la adultez</w:t>
      </w:r>
      <w:r>
        <w:rPr>
          <w:rFonts w:ascii="Times New Roman" w:hAnsi="Times New Roman" w:cs="Times New Roman"/>
          <w:sz w:val="24"/>
          <w:szCs w:val="24"/>
        </w:rPr>
        <w:t xml:space="preserve">. En </w:t>
      </w:r>
      <w:r w:rsidR="003A36BE" w:rsidRPr="00983163">
        <w:rPr>
          <w:rFonts w:ascii="Times New Roman" w:hAnsi="Times New Roman" w:cs="Times New Roman"/>
          <w:i/>
          <w:sz w:val="24"/>
          <w:szCs w:val="24"/>
        </w:rPr>
        <w:t>Transiciones Vulnerables. Juventud, Desigualdad y Exclusión en México</w:t>
      </w:r>
      <w:r w:rsidR="003A36BE" w:rsidRPr="00271929">
        <w:rPr>
          <w:rFonts w:ascii="Times New Roman" w:hAnsi="Times New Roman" w:cs="Times New Roman"/>
          <w:sz w:val="24"/>
          <w:szCs w:val="24"/>
        </w:rPr>
        <w:t xml:space="preserve"> (pp. 19-43). México: CIESAS.</w:t>
      </w:r>
    </w:p>
    <w:p w:rsidR="003A36BE" w:rsidRPr="00DD0820" w:rsidRDefault="003A36BE"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DD0820">
        <w:rPr>
          <w:rFonts w:ascii="Times New Roman" w:hAnsi="Times New Roman" w:cs="Times New Roman"/>
          <w:sz w:val="24"/>
          <w:szCs w:val="24"/>
        </w:rPr>
        <w:t>Tokman</w:t>
      </w:r>
      <w:proofErr w:type="spellEnd"/>
      <w:r w:rsidRPr="00DD0820">
        <w:rPr>
          <w:rFonts w:ascii="Times New Roman" w:hAnsi="Times New Roman" w:cs="Times New Roman"/>
          <w:sz w:val="24"/>
          <w:szCs w:val="24"/>
        </w:rPr>
        <w:t xml:space="preserve">, V. (2003), Desempleo juvenil en el Cono Sur. Causas, consecuencias y políticas. Santiago de Chile: Fundación Friedrich Ebert, Serie </w:t>
      </w:r>
      <w:proofErr w:type="spellStart"/>
      <w:r w:rsidRPr="00DD0820">
        <w:rPr>
          <w:rFonts w:ascii="Times New Roman" w:hAnsi="Times New Roman" w:cs="Times New Roman"/>
          <w:sz w:val="24"/>
          <w:szCs w:val="24"/>
        </w:rPr>
        <w:t>Prosur</w:t>
      </w:r>
      <w:proofErr w:type="spellEnd"/>
      <w:r w:rsidRPr="00DD0820">
        <w:rPr>
          <w:rFonts w:ascii="Times New Roman" w:hAnsi="Times New Roman" w:cs="Times New Roman"/>
          <w:sz w:val="24"/>
          <w:szCs w:val="24"/>
        </w:rPr>
        <w:t>.</w:t>
      </w:r>
    </w:p>
    <w:p w:rsidR="00983163" w:rsidRDefault="003A36BE" w:rsidP="008A764D">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sidRPr="00983163">
        <w:rPr>
          <w:rFonts w:ascii="Times New Roman" w:hAnsi="Times New Roman" w:cs="Times New Roman"/>
          <w:sz w:val="24"/>
          <w:szCs w:val="24"/>
        </w:rPr>
        <w:t xml:space="preserve">van </w:t>
      </w:r>
      <w:proofErr w:type="spellStart"/>
      <w:r w:rsidRPr="00983163">
        <w:rPr>
          <w:rFonts w:ascii="Times New Roman" w:hAnsi="Times New Roman" w:cs="Times New Roman"/>
          <w:sz w:val="24"/>
          <w:szCs w:val="24"/>
        </w:rPr>
        <w:t>Raap</w:t>
      </w:r>
      <w:proofErr w:type="spellEnd"/>
      <w:r w:rsidRPr="00983163">
        <w:rPr>
          <w:rFonts w:ascii="Times New Roman" w:hAnsi="Times New Roman" w:cs="Times New Roman"/>
          <w:sz w:val="24"/>
          <w:szCs w:val="24"/>
        </w:rPr>
        <w:t xml:space="preserve">, </w:t>
      </w:r>
      <w:proofErr w:type="spellStart"/>
      <w:r w:rsidRPr="00983163">
        <w:rPr>
          <w:rFonts w:ascii="Times New Roman" w:hAnsi="Times New Roman" w:cs="Times New Roman"/>
          <w:sz w:val="24"/>
          <w:szCs w:val="24"/>
        </w:rPr>
        <w:t>Vanina</w:t>
      </w:r>
      <w:proofErr w:type="spellEnd"/>
      <w:r w:rsidRPr="00983163">
        <w:rPr>
          <w:rFonts w:ascii="Times New Roman" w:hAnsi="Times New Roman" w:cs="Times New Roman"/>
          <w:sz w:val="24"/>
          <w:szCs w:val="24"/>
        </w:rPr>
        <w:t xml:space="preserve"> (2010). </w:t>
      </w:r>
      <w:hyperlink r:id="rId15" w:history="1">
        <w:r w:rsidRPr="00983163">
          <w:rPr>
            <w:rFonts w:ascii="Times New Roman" w:hAnsi="Times New Roman" w:cs="Times New Roman"/>
            <w:sz w:val="24"/>
            <w:szCs w:val="24"/>
          </w:rPr>
          <w:t>Educación, políticas sociales y acceso al mundo del trabajo: un estudio acerca de la desigualdad de oportunidades para los jóvenes en la Argentina</w:t>
        </w:r>
      </w:hyperlink>
      <w:r w:rsidRPr="00983163">
        <w:rPr>
          <w:rFonts w:ascii="Times New Roman" w:hAnsi="Times New Roman" w:cs="Times New Roman"/>
          <w:sz w:val="24"/>
          <w:szCs w:val="24"/>
        </w:rPr>
        <w:t> (Tesis de Maestría</w:t>
      </w:r>
      <w:r w:rsidR="00983163">
        <w:rPr>
          <w:rFonts w:ascii="Times New Roman" w:hAnsi="Times New Roman" w:cs="Times New Roman"/>
          <w:sz w:val="24"/>
          <w:szCs w:val="24"/>
        </w:rPr>
        <w:t>). Universidad de Buenos Aires.</w:t>
      </w:r>
    </w:p>
    <w:p w:rsidR="003A36BE" w:rsidRPr="00983163" w:rsidRDefault="003A36BE" w:rsidP="008A764D">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983163">
        <w:rPr>
          <w:rFonts w:ascii="Times New Roman" w:hAnsi="Times New Roman" w:cs="Times New Roman"/>
          <w:sz w:val="24"/>
          <w:szCs w:val="24"/>
        </w:rPr>
        <w:lastRenderedPageBreak/>
        <w:t>Weller</w:t>
      </w:r>
      <w:proofErr w:type="spellEnd"/>
      <w:r w:rsidRPr="00983163">
        <w:rPr>
          <w:rFonts w:ascii="Times New Roman" w:hAnsi="Times New Roman" w:cs="Times New Roman"/>
          <w:sz w:val="24"/>
          <w:szCs w:val="24"/>
        </w:rPr>
        <w:t>, J. (2003) La problemática inserción laboral de los y las jóvenes, Serie Macroeconomía del Desarrollo Nº 28, CEPAL, Santiago de Chile.</w:t>
      </w:r>
    </w:p>
    <w:p w:rsidR="003A36BE" w:rsidRDefault="00983163" w:rsidP="007B2614">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(2005), </w:t>
      </w:r>
      <w:r w:rsidR="003A36BE" w:rsidRPr="00C53B5D">
        <w:rPr>
          <w:rFonts w:ascii="Times New Roman" w:hAnsi="Times New Roman" w:cs="Times New Roman"/>
          <w:sz w:val="24"/>
          <w:szCs w:val="24"/>
        </w:rPr>
        <w:t>Inserción laboral de jóvenes: expectativas,</w:t>
      </w:r>
      <w:r>
        <w:rPr>
          <w:rFonts w:ascii="Times New Roman" w:hAnsi="Times New Roman" w:cs="Times New Roman"/>
          <w:sz w:val="24"/>
          <w:szCs w:val="24"/>
        </w:rPr>
        <w:t xml:space="preserve"> demanda laboral y trayectorias</w:t>
      </w:r>
      <w:r w:rsidR="003A36BE" w:rsidRPr="00C53B5D">
        <w:rPr>
          <w:rFonts w:ascii="Times New Roman" w:hAnsi="Times New Roman" w:cs="Times New Roman"/>
          <w:sz w:val="24"/>
          <w:szCs w:val="24"/>
        </w:rPr>
        <w:t xml:space="preserve">, </w:t>
      </w:r>
      <w:r>
        <w:rPr>
          <w:rFonts w:ascii="Times New Roman" w:hAnsi="Times New Roman" w:cs="Times New Roman"/>
          <w:sz w:val="24"/>
          <w:szCs w:val="24"/>
        </w:rPr>
        <w:t xml:space="preserve">presentado en el Seminario </w:t>
      </w:r>
      <w:r w:rsidR="003A36BE" w:rsidRPr="00C53B5D">
        <w:rPr>
          <w:rFonts w:ascii="Times New Roman" w:hAnsi="Times New Roman" w:cs="Times New Roman"/>
          <w:sz w:val="24"/>
          <w:szCs w:val="24"/>
        </w:rPr>
        <w:t>Estrategias educativas y formativas para l</w:t>
      </w:r>
      <w:r>
        <w:rPr>
          <w:rFonts w:ascii="Times New Roman" w:hAnsi="Times New Roman" w:cs="Times New Roman"/>
          <w:sz w:val="24"/>
          <w:szCs w:val="24"/>
        </w:rPr>
        <w:t>a inclusión social y productiva. México D. F.</w:t>
      </w:r>
    </w:p>
    <w:p w:rsidR="003D44ED" w:rsidRDefault="003A36BE" w:rsidP="00CA7AD9">
      <w:pPr>
        <w:pStyle w:val="Prrafodelista"/>
        <w:numPr>
          <w:ilvl w:val="0"/>
          <w:numId w:val="15"/>
        </w:numPr>
        <w:tabs>
          <w:tab w:val="left" w:pos="3583"/>
        </w:tabs>
        <w:spacing w:after="120" w:line="240" w:lineRule="auto"/>
        <w:ind w:left="360"/>
        <w:jc w:val="both"/>
        <w:rPr>
          <w:rFonts w:ascii="Times New Roman" w:hAnsi="Times New Roman" w:cs="Times New Roman"/>
          <w:sz w:val="24"/>
          <w:szCs w:val="24"/>
        </w:rPr>
      </w:pPr>
      <w:proofErr w:type="spellStart"/>
      <w:r w:rsidRPr="0007300C">
        <w:rPr>
          <w:rFonts w:ascii="Times New Roman" w:hAnsi="Times New Roman" w:cs="Times New Roman"/>
          <w:sz w:val="24"/>
          <w:szCs w:val="24"/>
        </w:rPr>
        <w:t>Weller</w:t>
      </w:r>
      <w:proofErr w:type="spellEnd"/>
      <w:r w:rsidRPr="0007300C">
        <w:rPr>
          <w:rFonts w:ascii="Times New Roman" w:hAnsi="Times New Roman" w:cs="Times New Roman"/>
          <w:sz w:val="24"/>
          <w:szCs w:val="24"/>
        </w:rPr>
        <w:t xml:space="preserve">, J. (2005) Los jóvenes y el empleo en América latina. Desafíos y perspectivas ante el Nuevo escenario laboral. Bogotá: </w:t>
      </w:r>
      <w:proofErr w:type="spellStart"/>
      <w:r w:rsidRPr="0007300C">
        <w:rPr>
          <w:rFonts w:ascii="Times New Roman" w:hAnsi="Times New Roman" w:cs="Times New Roman"/>
          <w:sz w:val="24"/>
          <w:szCs w:val="24"/>
        </w:rPr>
        <w:t>Mayol</w:t>
      </w:r>
      <w:proofErr w:type="spellEnd"/>
      <w:r w:rsidRPr="0007300C">
        <w:rPr>
          <w:rFonts w:ascii="Times New Roman" w:hAnsi="Times New Roman" w:cs="Times New Roman"/>
          <w:sz w:val="24"/>
          <w:szCs w:val="24"/>
        </w:rPr>
        <w:t>. CEPAL- GTZ.</w:t>
      </w:r>
    </w:p>
    <w:p w:rsidR="0066563C" w:rsidRPr="00CA7AD9" w:rsidRDefault="0066563C" w:rsidP="00CA7AD9">
      <w:pPr>
        <w:tabs>
          <w:tab w:val="left" w:pos="3583"/>
        </w:tabs>
        <w:spacing w:after="120" w:line="240" w:lineRule="auto"/>
        <w:jc w:val="both"/>
        <w:rPr>
          <w:rFonts w:ascii="Times New Roman" w:hAnsi="Times New Roman" w:cs="Times New Roman"/>
          <w:sz w:val="24"/>
          <w:szCs w:val="24"/>
        </w:rPr>
      </w:pPr>
    </w:p>
    <w:p w:rsidR="00762647" w:rsidRPr="00D91F3F" w:rsidRDefault="00666509" w:rsidP="00CA7AD9">
      <w:pPr>
        <w:pStyle w:val="Prrafodelista"/>
        <w:numPr>
          <w:ilvl w:val="0"/>
          <w:numId w:val="21"/>
        </w:numPr>
        <w:spacing w:line="360" w:lineRule="auto"/>
        <w:jc w:val="both"/>
        <w:rPr>
          <w:rFonts w:ascii="Times New Roman" w:hAnsi="Times New Roman" w:cs="Times New Roman"/>
          <w:sz w:val="24"/>
          <w:szCs w:val="24"/>
        </w:rPr>
      </w:pPr>
      <w:r w:rsidRPr="00D91F3F">
        <w:rPr>
          <w:rFonts w:ascii="Times New Roman" w:hAnsi="Times New Roman" w:cs="Times New Roman"/>
          <w:b/>
          <w:sz w:val="24"/>
          <w:szCs w:val="24"/>
        </w:rPr>
        <w:t>A</w:t>
      </w:r>
      <w:r w:rsidR="00BE3BEE" w:rsidRPr="00D91F3F">
        <w:rPr>
          <w:rFonts w:ascii="Times New Roman" w:hAnsi="Times New Roman" w:cs="Times New Roman"/>
          <w:b/>
          <w:sz w:val="24"/>
          <w:szCs w:val="24"/>
        </w:rPr>
        <w:t>nexo</w:t>
      </w:r>
      <w:r w:rsidR="00BE3BEE" w:rsidRPr="00D91F3F">
        <w:rPr>
          <w:rFonts w:ascii="Times New Roman" w:hAnsi="Times New Roman" w:cs="Times New Roman"/>
          <w:sz w:val="24"/>
          <w:szCs w:val="24"/>
        </w:rPr>
        <w:t xml:space="preserve"> </w:t>
      </w:r>
      <w:r w:rsidR="001D0395" w:rsidRPr="00D91F3F">
        <w:rPr>
          <w:rFonts w:ascii="Times New Roman" w:hAnsi="Times New Roman" w:cs="Times New Roman"/>
          <w:b/>
          <w:sz w:val="24"/>
          <w:szCs w:val="24"/>
        </w:rPr>
        <w:t>Metodológico</w:t>
      </w:r>
    </w:p>
    <w:p w:rsidR="002545DC" w:rsidRPr="00D91F3F" w:rsidRDefault="002545DC" w:rsidP="002545DC">
      <w:pPr>
        <w:spacing w:after="0"/>
        <w:jc w:val="both"/>
        <w:rPr>
          <w:rFonts w:ascii="Times New Roman" w:hAnsi="Times New Roman" w:cs="Times New Roman"/>
          <w:sz w:val="24"/>
          <w:szCs w:val="24"/>
        </w:rPr>
      </w:pPr>
      <w:r w:rsidRPr="00D91F3F">
        <w:rPr>
          <w:rFonts w:ascii="Times New Roman" w:hAnsi="Times New Roman" w:cs="Times New Roman"/>
          <w:sz w:val="24"/>
          <w:szCs w:val="24"/>
        </w:rPr>
        <w:t>La EPH define como ocupación principal aquella a la que el individuo le dedica habitualmente más horas de trabajo. Los ingresos de la ocupación principal comprenden aquellos generados como empleados o directivos del sector público, como perceptores de programas sociales y como asalariados o no asalariados del sector formal e informal.</w:t>
      </w:r>
    </w:p>
    <w:p w:rsidR="002545DC" w:rsidRPr="00D91F3F" w:rsidRDefault="002545DC" w:rsidP="002545DC">
      <w:pPr>
        <w:spacing w:after="0"/>
        <w:jc w:val="both"/>
        <w:rPr>
          <w:rFonts w:ascii="Times New Roman" w:hAnsi="Times New Roman" w:cs="Times New Roman"/>
          <w:sz w:val="24"/>
          <w:szCs w:val="24"/>
        </w:rPr>
      </w:pPr>
    </w:p>
    <w:p w:rsidR="002545DC" w:rsidRPr="00D91F3F" w:rsidRDefault="002545DC" w:rsidP="002545DC">
      <w:pPr>
        <w:spacing w:after="0"/>
        <w:jc w:val="both"/>
        <w:rPr>
          <w:rFonts w:ascii="Times New Roman" w:hAnsi="Times New Roman" w:cs="Times New Roman"/>
          <w:sz w:val="24"/>
          <w:szCs w:val="24"/>
        </w:rPr>
      </w:pPr>
      <w:r w:rsidRPr="00D91F3F">
        <w:rPr>
          <w:rFonts w:ascii="Times New Roman" w:hAnsi="Times New Roman" w:cs="Times New Roman"/>
          <w:b/>
          <w:sz w:val="24"/>
          <w:szCs w:val="24"/>
        </w:rPr>
        <w:t xml:space="preserve">Tabla AM.1: </w:t>
      </w:r>
      <w:r w:rsidRPr="002F5276">
        <w:rPr>
          <w:rFonts w:ascii="Times New Roman" w:hAnsi="Times New Roman" w:cs="Times New Roman"/>
          <w:sz w:val="24"/>
          <w:szCs w:val="24"/>
        </w:rPr>
        <w:t>Desglose de los sectores y categorías económico-ocupacionales de la ocupación principal y de los ingresos provenientes de la misma.</w:t>
      </w:r>
      <w:r w:rsidRPr="00D91F3F">
        <w:rPr>
          <w:rFonts w:ascii="Times New Roman" w:hAnsi="Times New Roman" w:cs="Times New Roman"/>
          <w:sz w:val="24"/>
          <w:szCs w:val="24"/>
        </w:rPr>
        <w:t xml:space="preserve"> </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60"/>
        <w:gridCol w:w="2231"/>
        <w:gridCol w:w="3584"/>
      </w:tblGrid>
      <w:tr w:rsidR="002545DC" w:rsidRPr="00D91F3F" w:rsidTr="006822A4">
        <w:trPr>
          <w:trHeight w:val="341"/>
          <w:jc w:val="center"/>
        </w:trPr>
        <w:tc>
          <w:tcPr>
            <w:tcW w:w="3660" w:type="dxa"/>
            <w:shd w:val="clear" w:color="auto" w:fill="auto"/>
            <w:noWrap/>
            <w:vAlign w:val="center"/>
            <w:hideMark/>
          </w:tcPr>
          <w:p w:rsidR="002545DC" w:rsidRPr="00D91F3F" w:rsidRDefault="002545DC" w:rsidP="002545DC">
            <w:pPr>
              <w:spacing w:after="0" w:line="240" w:lineRule="auto"/>
              <w:jc w:val="center"/>
              <w:rPr>
                <w:rFonts w:ascii="Times New Roman" w:eastAsia="Times New Roman" w:hAnsi="Times New Roman" w:cs="Times New Roman"/>
                <w:b/>
                <w:bCs/>
                <w:color w:val="000000"/>
                <w:sz w:val="24"/>
                <w:szCs w:val="24"/>
                <w:lang w:eastAsia="es-AR"/>
              </w:rPr>
            </w:pPr>
            <w:r w:rsidRPr="00D91F3F">
              <w:rPr>
                <w:rFonts w:ascii="Times New Roman" w:eastAsia="Times New Roman" w:hAnsi="Times New Roman" w:cs="Times New Roman"/>
                <w:b/>
                <w:bCs/>
                <w:color w:val="000000"/>
                <w:sz w:val="24"/>
                <w:szCs w:val="24"/>
                <w:lang w:eastAsia="es-AR"/>
              </w:rPr>
              <w:t>SECTORES</w:t>
            </w:r>
          </w:p>
        </w:tc>
        <w:tc>
          <w:tcPr>
            <w:tcW w:w="2231" w:type="dxa"/>
            <w:shd w:val="clear" w:color="auto" w:fill="auto"/>
            <w:noWrap/>
            <w:vAlign w:val="center"/>
            <w:hideMark/>
          </w:tcPr>
          <w:p w:rsidR="002545DC" w:rsidRPr="00D91F3F" w:rsidRDefault="002545DC" w:rsidP="002545DC">
            <w:pPr>
              <w:spacing w:after="0" w:line="240" w:lineRule="auto"/>
              <w:jc w:val="center"/>
              <w:rPr>
                <w:rFonts w:ascii="Times New Roman" w:eastAsia="Times New Roman" w:hAnsi="Times New Roman" w:cs="Times New Roman"/>
                <w:b/>
                <w:bCs/>
                <w:color w:val="000000"/>
                <w:sz w:val="24"/>
                <w:szCs w:val="24"/>
                <w:lang w:eastAsia="es-AR"/>
              </w:rPr>
            </w:pPr>
            <w:r w:rsidRPr="00D91F3F">
              <w:rPr>
                <w:rFonts w:ascii="Times New Roman" w:eastAsia="Times New Roman" w:hAnsi="Times New Roman" w:cs="Times New Roman"/>
                <w:b/>
                <w:bCs/>
                <w:color w:val="000000"/>
                <w:sz w:val="24"/>
                <w:szCs w:val="24"/>
                <w:lang w:eastAsia="es-AR"/>
              </w:rPr>
              <w:t>CATEGORÍA / SECTOR</w:t>
            </w:r>
          </w:p>
        </w:tc>
        <w:tc>
          <w:tcPr>
            <w:tcW w:w="3584" w:type="dxa"/>
            <w:shd w:val="clear" w:color="auto" w:fill="auto"/>
            <w:vAlign w:val="center"/>
            <w:hideMark/>
          </w:tcPr>
          <w:p w:rsidR="002545DC" w:rsidRPr="00D91F3F" w:rsidRDefault="002545DC" w:rsidP="002545DC">
            <w:pPr>
              <w:spacing w:after="0" w:line="240" w:lineRule="auto"/>
              <w:jc w:val="center"/>
              <w:rPr>
                <w:rFonts w:ascii="Times New Roman" w:eastAsia="Times New Roman" w:hAnsi="Times New Roman" w:cs="Times New Roman"/>
                <w:b/>
                <w:bCs/>
                <w:color w:val="000000"/>
                <w:sz w:val="24"/>
                <w:szCs w:val="24"/>
                <w:lang w:eastAsia="es-AR"/>
              </w:rPr>
            </w:pPr>
            <w:r w:rsidRPr="00D91F3F">
              <w:rPr>
                <w:rFonts w:ascii="Times New Roman" w:eastAsia="Times New Roman" w:hAnsi="Times New Roman" w:cs="Times New Roman"/>
                <w:b/>
                <w:bCs/>
                <w:color w:val="000000"/>
                <w:sz w:val="24"/>
                <w:szCs w:val="24"/>
                <w:lang w:eastAsia="es-AR"/>
              </w:rPr>
              <w:t>OPERACIONALIZACIÓN Y</w:t>
            </w:r>
            <w:r w:rsidRPr="00D91F3F">
              <w:rPr>
                <w:rFonts w:ascii="Times New Roman" w:eastAsia="Times New Roman" w:hAnsi="Times New Roman" w:cs="Times New Roman"/>
                <w:b/>
                <w:bCs/>
                <w:color w:val="000000"/>
                <w:sz w:val="24"/>
                <w:szCs w:val="24"/>
                <w:lang w:eastAsia="es-AR"/>
              </w:rPr>
              <w:br/>
              <w:t>TIPO DE INGRESO DE CADA CATEGORÍA/SECTOR</w:t>
            </w:r>
          </w:p>
        </w:tc>
      </w:tr>
      <w:tr w:rsidR="002545DC" w:rsidRPr="00D91F3F" w:rsidTr="006822A4">
        <w:trPr>
          <w:trHeight w:val="968"/>
          <w:jc w:val="center"/>
        </w:trPr>
        <w:tc>
          <w:tcPr>
            <w:tcW w:w="3660" w:type="dxa"/>
            <w:vMerge w:val="restart"/>
            <w:shd w:val="clear" w:color="auto" w:fill="auto"/>
            <w:vAlign w:val="center"/>
            <w:hideMark/>
          </w:tcPr>
          <w:p w:rsidR="006A4D7F" w:rsidRPr="00D91F3F" w:rsidRDefault="006A4D7F" w:rsidP="002545DC">
            <w:pPr>
              <w:spacing w:after="0" w:line="240" w:lineRule="auto"/>
              <w:rPr>
                <w:rFonts w:ascii="Times New Roman" w:eastAsia="Times New Roman" w:hAnsi="Times New Roman" w:cs="Times New Roman"/>
                <w:b/>
                <w:color w:val="000000"/>
                <w:sz w:val="24"/>
                <w:szCs w:val="24"/>
                <w:lang w:eastAsia="es-AR"/>
              </w:rPr>
            </w:pPr>
            <w:r w:rsidRPr="00D91F3F">
              <w:rPr>
                <w:rFonts w:ascii="Times New Roman" w:eastAsia="Times New Roman" w:hAnsi="Times New Roman" w:cs="Times New Roman"/>
                <w:b/>
                <w:color w:val="000000"/>
                <w:sz w:val="24"/>
                <w:szCs w:val="24"/>
                <w:lang w:eastAsia="es-AR"/>
              </w:rPr>
              <w:t xml:space="preserve">SECTOR PRIVADO </w:t>
            </w:r>
            <w:r w:rsidR="002545DC" w:rsidRPr="00D91F3F">
              <w:rPr>
                <w:rFonts w:ascii="Times New Roman" w:eastAsia="Times New Roman" w:hAnsi="Times New Roman" w:cs="Times New Roman"/>
                <w:b/>
                <w:color w:val="000000"/>
                <w:sz w:val="24"/>
                <w:szCs w:val="24"/>
                <w:lang w:eastAsia="es-AR"/>
              </w:rPr>
              <w:t>FORMAL</w:t>
            </w:r>
          </w:p>
          <w:p w:rsidR="002545DC" w:rsidRPr="00D91F3F" w:rsidRDefault="002545DC" w:rsidP="006A4D7F">
            <w:pPr>
              <w:spacing w:after="0" w:line="240" w:lineRule="auto"/>
              <w:jc w:val="both"/>
              <w:rPr>
                <w:rFonts w:ascii="Times New Roman" w:eastAsia="Times New Roman" w:hAnsi="Times New Roman" w:cs="Times New Roman"/>
                <w:color w:val="000000"/>
                <w:sz w:val="24"/>
                <w:szCs w:val="24"/>
                <w:lang w:eastAsia="es-AR"/>
              </w:rPr>
            </w:pPr>
            <w:r w:rsidRPr="00D91F3F">
              <w:rPr>
                <w:rFonts w:ascii="Times New Roman" w:eastAsia="Times New Roman" w:hAnsi="Times New Roman" w:cs="Times New Roman"/>
                <w:color w:val="000000"/>
                <w:sz w:val="24"/>
                <w:szCs w:val="24"/>
                <w:lang w:eastAsia="es-AR"/>
              </w:rPr>
              <w:br/>
              <w:t>Actividades laborales de el</w:t>
            </w:r>
            <w:r w:rsidR="006A4D7F" w:rsidRPr="00D91F3F">
              <w:rPr>
                <w:rFonts w:ascii="Times New Roman" w:eastAsia="Times New Roman" w:hAnsi="Times New Roman" w:cs="Times New Roman"/>
                <w:color w:val="000000"/>
                <w:sz w:val="24"/>
                <w:szCs w:val="24"/>
                <w:lang w:eastAsia="es-AR"/>
              </w:rPr>
              <w:t xml:space="preserve">evada productividad y altamente integradas económicamente a los </w:t>
            </w:r>
            <w:r w:rsidRPr="00D91F3F">
              <w:rPr>
                <w:rFonts w:ascii="Times New Roman" w:eastAsia="Times New Roman" w:hAnsi="Times New Roman" w:cs="Times New Roman"/>
                <w:color w:val="000000"/>
                <w:sz w:val="24"/>
                <w:szCs w:val="24"/>
                <w:lang w:eastAsia="es-AR"/>
              </w:rPr>
              <w:t>procesos de modernización.</w:t>
            </w:r>
            <w:r w:rsidRPr="00D91F3F">
              <w:rPr>
                <w:rFonts w:ascii="Times New Roman" w:eastAsia="Times New Roman" w:hAnsi="Times New Roman" w:cs="Times New Roman"/>
                <w:color w:val="000000"/>
                <w:sz w:val="24"/>
                <w:szCs w:val="24"/>
                <w:lang w:eastAsia="es-AR"/>
              </w:rPr>
              <w:br/>
              <w:t>S</w:t>
            </w:r>
            <w:r w:rsidR="006A4D7F" w:rsidRPr="00D91F3F">
              <w:rPr>
                <w:rFonts w:ascii="Times New Roman" w:eastAsia="Times New Roman" w:hAnsi="Times New Roman" w:cs="Times New Roman"/>
                <w:color w:val="000000"/>
                <w:sz w:val="24"/>
                <w:szCs w:val="24"/>
                <w:lang w:eastAsia="es-AR"/>
              </w:rPr>
              <w:t xml:space="preserve">e las define habitualmente como aquellas que conforman </w:t>
            </w:r>
            <w:r w:rsidRPr="00D91F3F">
              <w:rPr>
                <w:rFonts w:ascii="Times New Roman" w:eastAsia="Times New Roman" w:hAnsi="Times New Roman" w:cs="Times New Roman"/>
                <w:color w:val="000000"/>
                <w:sz w:val="24"/>
                <w:szCs w:val="24"/>
                <w:lang w:eastAsia="es-AR"/>
              </w:rPr>
              <w:t>el mercado más concentrado o estructurado. En términos</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operativos, son</w:t>
            </w:r>
            <w:r w:rsidR="006A4D7F" w:rsidRPr="00D91F3F">
              <w:rPr>
                <w:rFonts w:ascii="Times New Roman" w:eastAsia="Times New Roman" w:hAnsi="Times New Roman" w:cs="Times New Roman"/>
                <w:color w:val="000000"/>
                <w:sz w:val="24"/>
                <w:szCs w:val="24"/>
                <w:lang w:eastAsia="es-AR"/>
              </w:rPr>
              <w:t xml:space="preserve"> ocupaciones en establecimientos </w:t>
            </w:r>
            <w:r w:rsidRPr="00D91F3F">
              <w:rPr>
                <w:rFonts w:ascii="Times New Roman" w:eastAsia="Times New Roman" w:hAnsi="Times New Roman" w:cs="Times New Roman"/>
                <w:color w:val="000000"/>
                <w:sz w:val="24"/>
                <w:szCs w:val="24"/>
                <w:lang w:eastAsia="es-AR"/>
              </w:rPr>
              <w:t>m</w:t>
            </w:r>
            <w:r w:rsidR="006A4D7F" w:rsidRPr="00D91F3F">
              <w:rPr>
                <w:rFonts w:ascii="Times New Roman" w:eastAsia="Times New Roman" w:hAnsi="Times New Roman" w:cs="Times New Roman"/>
                <w:color w:val="000000"/>
                <w:sz w:val="24"/>
                <w:szCs w:val="24"/>
                <w:lang w:eastAsia="es-AR"/>
              </w:rPr>
              <w:t xml:space="preserve">edianos o grandes o actividades </w:t>
            </w:r>
            <w:r w:rsidRPr="00D91F3F">
              <w:rPr>
                <w:rFonts w:ascii="Times New Roman" w:eastAsia="Times New Roman" w:hAnsi="Times New Roman" w:cs="Times New Roman"/>
                <w:color w:val="000000"/>
                <w:sz w:val="24"/>
                <w:szCs w:val="24"/>
                <w:lang w:eastAsia="es-AR"/>
              </w:rPr>
              <w:t>profesionales.</w:t>
            </w:r>
          </w:p>
          <w:p w:rsidR="006A4D7F" w:rsidRPr="00D91F3F" w:rsidRDefault="006A4D7F" w:rsidP="006A4D7F">
            <w:pPr>
              <w:spacing w:after="0" w:line="240" w:lineRule="auto"/>
              <w:jc w:val="both"/>
              <w:rPr>
                <w:rFonts w:ascii="Times New Roman" w:eastAsia="Times New Roman" w:hAnsi="Times New Roman" w:cs="Times New Roman"/>
                <w:color w:val="000000"/>
                <w:sz w:val="24"/>
                <w:szCs w:val="24"/>
                <w:lang w:eastAsia="es-AR"/>
              </w:rPr>
            </w:pPr>
          </w:p>
        </w:tc>
        <w:tc>
          <w:tcPr>
            <w:tcW w:w="2231" w:type="dxa"/>
            <w:shd w:val="clear" w:color="auto" w:fill="auto"/>
            <w:noWrap/>
            <w:vAlign w:val="center"/>
            <w:hideMark/>
          </w:tcPr>
          <w:p w:rsidR="002545DC" w:rsidRPr="00D91F3F" w:rsidRDefault="002545DC" w:rsidP="000D55A1">
            <w:pPr>
              <w:spacing w:after="0" w:line="240" w:lineRule="auto"/>
              <w:jc w:val="center"/>
              <w:rPr>
                <w:rFonts w:ascii="Times New Roman" w:eastAsia="Times New Roman" w:hAnsi="Times New Roman" w:cs="Times New Roman"/>
                <w:b/>
                <w:bCs/>
                <w:color w:val="000000"/>
                <w:sz w:val="24"/>
                <w:szCs w:val="24"/>
                <w:lang w:eastAsia="es-AR"/>
              </w:rPr>
            </w:pPr>
            <w:r w:rsidRPr="00D91F3F">
              <w:rPr>
                <w:rFonts w:ascii="Times New Roman" w:eastAsia="Times New Roman" w:hAnsi="Times New Roman" w:cs="Times New Roman"/>
                <w:b/>
                <w:bCs/>
                <w:color w:val="000000"/>
                <w:sz w:val="24"/>
                <w:szCs w:val="24"/>
                <w:lang w:eastAsia="es-AR"/>
              </w:rPr>
              <w:t>ASALARIADO</w:t>
            </w:r>
          </w:p>
        </w:tc>
        <w:tc>
          <w:tcPr>
            <w:tcW w:w="3584" w:type="dxa"/>
            <w:shd w:val="clear" w:color="auto" w:fill="auto"/>
            <w:vAlign w:val="center"/>
            <w:hideMark/>
          </w:tcPr>
          <w:p w:rsidR="002545DC" w:rsidRPr="00D91F3F" w:rsidRDefault="006A4D7F" w:rsidP="006A4D7F">
            <w:pPr>
              <w:spacing w:after="0" w:line="240" w:lineRule="auto"/>
              <w:jc w:val="both"/>
              <w:rPr>
                <w:rFonts w:ascii="Times New Roman" w:eastAsia="Times New Roman" w:hAnsi="Times New Roman" w:cs="Times New Roman"/>
                <w:color w:val="000000"/>
                <w:sz w:val="24"/>
                <w:szCs w:val="24"/>
                <w:lang w:eastAsia="es-AR"/>
              </w:rPr>
            </w:pPr>
            <w:r w:rsidRPr="00D91F3F">
              <w:rPr>
                <w:rFonts w:ascii="Times New Roman" w:eastAsia="Times New Roman" w:hAnsi="Times New Roman" w:cs="Times New Roman"/>
                <w:color w:val="000000"/>
                <w:sz w:val="24"/>
                <w:szCs w:val="24"/>
                <w:lang w:eastAsia="es-AR"/>
              </w:rPr>
              <w:t xml:space="preserve">Salarios como obrero o empleado </w:t>
            </w:r>
            <w:r w:rsidR="002545DC" w:rsidRPr="00D91F3F">
              <w:rPr>
                <w:rFonts w:ascii="Times New Roman" w:eastAsia="Times New Roman" w:hAnsi="Times New Roman" w:cs="Times New Roman"/>
                <w:color w:val="000000"/>
                <w:sz w:val="24"/>
                <w:szCs w:val="24"/>
                <w:lang w:eastAsia="es-AR"/>
              </w:rPr>
              <w:t xml:space="preserve">que trabaja en </w:t>
            </w:r>
            <w:r w:rsidRPr="00D91F3F">
              <w:rPr>
                <w:rFonts w:ascii="Times New Roman" w:eastAsia="Times New Roman" w:hAnsi="Times New Roman" w:cs="Times New Roman"/>
                <w:color w:val="000000"/>
                <w:sz w:val="24"/>
                <w:szCs w:val="24"/>
                <w:lang w:eastAsia="es-AR"/>
              </w:rPr>
              <w:t xml:space="preserve">establecimiento privado con más </w:t>
            </w:r>
            <w:r w:rsidR="002545DC" w:rsidRPr="00D91F3F">
              <w:rPr>
                <w:rFonts w:ascii="Times New Roman" w:eastAsia="Times New Roman" w:hAnsi="Times New Roman" w:cs="Times New Roman"/>
                <w:color w:val="000000"/>
                <w:sz w:val="24"/>
                <w:szCs w:val="24"/>
                <w:lang w:eastAsia="es-AR"/>
              </w:rPr>
              <w:t>de cinco ocupados.</w:t>
            </w:r>
          </w:p>
        </w:tc>
      </w:tr>
      <w:tr w:rsidR="002545DC" w:rsidRPr="00D91F3F" w:rsidTr="006822A4">
        <w:trPr>
          <w:trHeight w:val="902"/>
          <w:jc w:val="center"/>
        </w:trPr>
        <w:tc>
          <w:tcPr>
            <w:tcW w:w="3660" w:type="dxa"/>
            <w:vMerge/>
            <w:vAlign w:val="center"/>
            <w:hideMark/>
          </w:tcPr>
          <w:p w:rsidR="002545DC" w:rsidRPr="00D91F3F" w:rsidRDefault="002545DC" w:rsidP="002545DC">
            <w:pPr>
              <w:spacing w:after="0" w:line="240" w:lineRule="auto"/>
              <w:rPr>
                <w:rFonts w:ascii="Times New Roman" w:eastAsia="Times New Roman" w:hAnsi="Times New Roman" w:cs="Times New Roman"/>
                <w:color w:val="000000"/>
                <w:sz w:val="24"/>
                <w:szCs w:val="24"/>
                <w:lang w:eastAsia="es-AR"/>
              </w:rPr>
            </w:pPr>
          </w:p>
        </w:tc>
        <w:tc>
          <w:tcPr>
            <w:tcW w:w="2231" w:type="dxa"/>
            <w:shd w:val="clear" w:color="auto" w:fill="auto"/>
            <w:noWrap/>
            <w:vAlign w:val="center"/>
            <w:hideMark/>
          </w:tcPr>
          <w:p w:rsidR="002545DC" w:rsidRPr="00D91F3F" w:rsidRDefault="002545DC" w:rsidP="000D55A1">
            <w:pPr>
              <w:spacing w:after="0" w:line="240" w:lineRule="auto"/>
              <w:jc w:val="center"/>
              <w:rPr>
                <w:rFonts w:ascii="Times New Roman" w:eastAsia="Times New Roman" w:hAnsi="Times New Roman" w:cs="Times New Roman"/>
                <w:b/>
                <w:bCs/>
                <w:color w:val="000000"/>
                <w:sz w:val="24"/>
                <w:szCs w:val="24"/>
                <w:lang w:eastAsia="es-AR"/>
              </w:rPr>
            </w:pPr>
            <w:r w:rsidRPr="00D91F3F">
              <w:rPr>
                <w:rFonts w:ascii="Times New Roman" w:eastAsia="Times New Roman" w:hAnsi="Times New Roman" w:cs="Times New Roman"/>
                <w:b/>
                <w:bCs/>
                <w:color w:val="000000"/>
                <w:sz w:val="24"/>
                <w:szCs w:val="24"/>
                <w:lang w:eastAsia="es-AR"/>
              </w:rPr>
              <w:t>NO ASALARIADO</w:t>
            </w:r>
          </w:p>
        </w:tc>
        <w:tc>
          <w:tcPr>
            <w:tcW w:w="3584" w:type="dxa"/>
            <w:shd w:val="clear" w:color="auto" w:fill="auto"/>
            <w:vAlign w:val="center"/>
            <w:hideMark/>
          </w:tcPr>
          <w:p w:rsidR="002545DC" w:rsidRPr="00D91F3F" w:rsidRDefault="002545DC" w:rsidP="006A4D7F">
            <w:pPr>
              <w:spacing w:after="0" w:line="240" w:lineRule="auto"/>
              <w:jc w:val="both"/>
              <w:rPr>
                <w:rFonts w:ascii="Times New Roman" w:eastAsia="Times New Roman" w:hAnsi="Times New Roman" w:cs="Times New Roman"/>
                <w:color w:val="000000"/>
                <w:sz w:val="24"/>
                <w:szCs w:val="24"/>
                <w:lang w:eastAsia="es-AR"/>
              </w:rPr>
            </w:pPr>
            <w:r w:rsidRPr="00D91F3F">
              <w:rPr>
                <w:rFonts w:ascii="Times New Roman" w:eastAsia="Times New Roman" w:hAnsi="Times New Roman" w:cs="Times New Roman"/>
                <w:color w:val="000000"/>
                <w:sz w:val="24"/>
                <w:szCs w:val="24"/>
                <w:lang w:eastAsia="es-AR"/>
              </w:rPr>
              <w:t>Utilidades como cuenta propia</w:t>
            </w:r>
            <w:r w:rsidRPr="00D91F3F">
              <w:rPr>
                <w:rFonts w:ascii="Times New Roman" w:eastAsia="Times New Roman" w:hAnsi="Times New Roman" w:cs="Times New Roman"/>
                <w:color w:val="000000"/>
                <w:sz w:val="24"/>
                <w:szCs w:val="24"/>
                <w:lang w:eastAsia="es-AR"/>
              </w:rPr>
              <w:br/>
              <w:t>profesional.</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Ganancias como patrones</w:t>
            </w:r>
            <w:r w:rsidRPr="00D91F3F">
              <w:rPr>
                <w:rFonts w:ascii="Times New Roman" w:eastAsia="Times New Roman" w:hAnsi="Times New Roman" w:cs="Times New Roman"/>
                <w:color w:val="000000"/>
                <w:sz w:val="24"/>
                <w:szCs w:val="24"/>
                <w:lang w:eastAsia="es-AR"/>
              </w:rPr>
              <w:br/>
              <w:t>profesionales o de establecimientos</w:t>
            </w:r>
            <w:r w:rsidRPr="00D91F3F">
              <w:rPr>
                <w:rFonts w:ascii="Times New Roman" w:eastAsia="Times New Roman" w:hAnsi="Times New Roman" w:cs="Times New Roman"/>
                <w:color w:val="000000"/>
                <w:sz w:val="24"/>
                <w:szCs w:val="24"/>
                <w:lang w:eastAsia="es-AR"/>
              </w:rPr>
              <w:br/>
              <w:t>con más de cinco</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ocupados.</w:t>
            </w:r>
          </w:p>
        </w:tc>
      </w:tr>
      <w:tr w:rsidR="002545DC" w:rsidRPr="00D91F3F" w:rsidTr="006822A4">
        <w:trPr>
          <w:trHeight w:val="1270"/>
          <w:jc w:val="center"/>
        </w:trPr>
        <w:tc>
          <w:tcPr>
            <w:tcW w:w="3660" w:type="dxa"/>
            <w:vMerge w:val="restart"/>
            <w:shd w:val="clear" w:color="auto" w:fill="auto"/>
            <w:vAlign w:val="bottom"/>
            <w:hideMark/>
          </w:tcPr>
          <w:p w:rsidR="006A4D7F" w:rsidRPr="00D91F3F" w:rsidRDefault="006A4D7F" w:rsidP="006A4D7F">
            <w:pPr>
              <w:spacing w:after="0" w:line="240" w:lineRule="auto"/>
              <w:jc w:val="both"/>
              <w:rPr>
                <w:rFonts w:ascii="Times New Roman" w:eastAsia="Times New Roman" w:hAnsi="Times New Roman" w:cs="Times New Roman"/>
                <w:color w:val="000000"/>
                <w:sz w:val="24"/>
                <w:szCs w:val="24"/>
                <w:lang w:eastAsia="es-AR"/>
              </w:rPr>
            </w:pPr>
            <w:r w:rsidRPr="00D91F3F">
              <w:rPr>
                <w:rFonts w:ascii="Times New Roman" w:eastAsia="Times New Roman" w:hAnsi="Times New Roman" w:cs="Times New Roman"/>
                <w:b/>
                <w:color w:val="000000"/>
                <w:sz w:val="24"/>
                <w:szCs w:val="24"/>
                <w:lang w:eastAsia="es-AR"/>
              </w:rPr>
              <w:t>S</w:t>
            </w:r>
            <w:r w:rsidR="000D55A1" w:rsidRPr="00D91F3F">
              <w:rPr>
                <w:rFonts w:ascii="Times New Roman" w:eastAsia="Times New Roman" w:hAnsi="Times New Roman" w:cs="Times New Roman"/>
                <w:b/>
                <w:color w:val="000000"/>
                <w:sz w:val="24"/>
                <w:szCs w:val="24"/>
                <w:lang w:eastAsia="es-AR"/>
              </w:rPr>
              <w:t xml:space="preserve">ECTOR </w:t>
            </w:r>
            <w:r w:rsidR="002545DC" w:rsidRPr="00D91F3F">
              <w:rPr>
                <w:rFonts w:ascii="Times New Roman" w:eastAsia="Times New Roman" w:hAnsi="Times New Roman" w:cs="Times New Roman"/>
                <w:b/>
                <w:color w:val="000000"/>
                <w:sz w:val="24"/>
                <w:szCs w:val="24"/>
                <w:lang w:eastAsia="es-AR"/>
              </w:rPr>
              <w:t>PRIVADO INFORMAL</w:t>
            </w:r>
            <w:r w:rsidR="002545DC" w:rsidRPr="00D91F3F">
              <w:rPr>
                <w:rFonts w:ascii="Times New Roman" w:eastAsia="Times New Roman" w:hAnsi="Times New Roman" w:cs="Times New Roman"/>
                <w:color w:val="000000"/>
                <w:sz w:val="24"/>
                <w:szCs w:val="24"/>
                <w:lang w:eastAsia="es-AR"/>
              </w:rPr>
              <w:t xml:space="preserve"> </w:t>
            </w:r>
            <w:r w:rsidR="002545DC" w:rsidRPr="00D91F3F">
              <w:rPr>
                <w:rFonts w:ascii="Times New Roman" w:eastAsia="Times New Roman" w:hAnsi="Times New Roman" w:cs="Times New Roman"/>
                <w:color w:val="000000"/>
                <w:sz w:val="24"/>
                <w:szCs w:val="24"/>
                <w:lang w:eastAsia="es-AR"/>
              </w:rPr>
              <w:br/>
            </w:r>
          </w:p>
          <w:p w:rsidR="002545DC" w:rsidRPr="00D91F3F" w:rsidRDefault="002545DC" w:rsidP="006A4D7F">
            <w:pPr>
              <w:spacing w:after="0" w:line="240" w:lineRule="auto"/>
              <w:jc w:val="both"/>
              <w:rPr>
                <w:rFonts w:ascii="Times New Roman" w:eastAsia="Times New Roman" w:hAnsi="Times New Roman" w:cs="Times New Roman"/>
                <w:color w:val="000000"/>
                <w:sz w:val="24"/>
                <w:szCs w:val="24"/>
                <w:lang w:eastAsia="es-AR"/>
              </w:rPr>
            </w:pPr>
            <w:r w:rsidRPr="00D91F3F">
              <w:rPr>
                <w:rFonts w:ascii="Times New Roman" w:eastAsia="Times New Roman" w:hAnsi="Times New Roman" w:cs="Times New Roman"/>
                <w:color w:val="000000"/>
                <w:sz w:val="24"/>
                <w:szCs w:val="24"/>
                <w:lang w:eastAsia="es-AR"/>
              </w:rPr>
              <w:t>Salarios como obrero o empleado</w:t>
            </w:r>
            <w:r w:rsidRPr="00D91F3F">
              <w:rPr>
                <w:rFonts w:ascii="Times New Roman" w:eastAsia="Times New Roman" w:hAnsi="Times New Roman" w:cs="Times New Roman"/>
                <w:color w:val="000000"/>
                <w:sz w:val="24"/>
                <w:szCs w:val="24"/>
                <w:lang w:eastAsia="es-AR"/>
              </w:rPr>
              <w:br/>
            </w:r>
            <w:r w:rsidRPr="00D91F3F">
              <w:rPr>
                <w:rFonts w:ascii="Times New Roman" w:eastAsia="Times New Roman" w:hAnsi="Times New Roman" w:cs="Times New Roman"/>
                <w:color w:val="000000"/>
                <w:sz w:val="24"/>
                <w:szCs w:val="24"/>
                <w:lang w:eastAsia="es-AR"/>
              </w:rPr>
              <w:lastRenderedPageBreak/>
              <w:t>no profesional que</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trabaja en establecimiento</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privado con hasta cinco ocupados.</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Actividades laborales dominadas</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por la baja</w:t>
            </w:r>
            <w:r w:rsidR="006A4D7F" w:rsidRPr="00D91F3F">
              <w:rPr>
                <w:rFonts w:ascii="Times New Roman" w:eastAsia="Times New Roman" w:hAnsi="Times New Roman" w:cs="Times New Roman"/>
                <w:color w:val="000000"/>
                <w:sz w:val="24"/>
                <w:szCs w:val="24"/>
                <w:lang w:eastAsia="es-AR"/>
              </w:rPr>
              <w:t xml:space="preserve"> productividad, </w:t>
            </w:r>
            <w:r w:rsidRPr="00D91F3F">
              <w:rPr>
                <w:rFonts w:ascii="Times New Roman" w:eastAsia="Times New Roman" w:hAnsi="Times New Roman" w:cs="Times New Roman"/>
                <w:color w:val="000000"/>
                <w:sz w:val="24"/>
                <w:szCs w:val="24"/>
                <w:lang w:eastAsia="es-AR"/>
              </w:rPr>
              <w:t>alta rotación de trabajadores,</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inestabilidad y su no funcionalidad</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al mercado formal o</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más estructurado. En términos</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operativos, son ocupaciones</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en establecimientos pequeños,</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actividades de servicio doméstico</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o actividades independientes</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no profesionales.</w:t>
            </w:r>
          </w:p>
          <w:p w:rsidR="006A4D7F" w:rsidRPr="00D91F3F" w:rsidRDefault="006A4D7F" w:rsidP="006A4D7F">
            <w:pPr>
              <w:spacing w:after="0" w:line="240" w:lineRule="auto"/>
              <w:jc w:val="both"/>
              <w:rPr>
                <w:rFonts w:ascii="Times New Roman" w:eastAsia="Times New Roman" w:hAnsi="Times New Roman" w:cs="Times New Roman"/>
                <w:color w:val="000000"/>
                <w:sz w:val="24"/>
                <w:szCs w:val="24"/>
                <w:lang w:eastAsia="es-AR"/>
              </w:rPr>
            </w:pPr>
          </w:p>
        </w:tc>
        <w:tc>
          <w:tcPr>
            <w:tcW w:w="2231" w:type="dxa"/>
            <w:shd w:val="clear" w:color="auto" w:fill="auto"/>
            <w:noWrap/>
            <w:vAlign w:val="center"/>
            <w:hideMark/>
          </w:tcPr>
          <w:p w:rsidR="002545DC" w:rsidRPr="00D91F3F" w:rsidRDefault="002545DC" w:rsidP="000D55A1">
            <w:pPr>
              <w:spacing w:after="0" w:line="240" w:lineRule="auto"/>
              <w:jc w:val="center"/>
              <w:rPr>
                <w:rFonts w:ascii="Times New Roman" w:eastAsia="Times New Roman" w:hAnsi="Times New Roman" w:cs="Times New Roman"/>
                <w:b/>
                <w:bCs/>
                <w:color w:val="000000"/>
                <w:sz w:val="24"/>
                <w:szCs w:val="24"/>
                <w:lang w:eastAsia="es-AR"/>
              </w:rPr>
            </w:pPr>
            <w:r w:rsidRPr="00D91F3F">
              <w:rPr>
                <w:rFonts w:ascii="Times New Roman" w:eastAsia="Times New Roman" w:hAnsi="Times New Roman" w:cs="Times New Roman"/>
                <w:b/>
                <w:bCs/>
                <w:color w:val="000000"/>
                <w:sz w:val="24"/>
                <w:szCs w:val="24"/>
                <w:lang w:eastAsia="es-AR"/>
              </w:rPr>
              <w:lastRenderedPageBreak/>
              <w:t>ASALARIADO</w:t>
            </w:r>
          </w:p>
        </w:tc>
        <w:tc>
          <w:tcPr>
            <w:tcW w:w="3584" w:type="dxa"/>
            <w:shd w:val="clear" w:color="auto" w:fill="auto"/>
            <w:vAlign w:val="center"/>
            <w:hideMark/>
          </w:tcPr>
          <w:p w:rsidR="002545DC" w:rsidRPr="00D91F3F" w:rsidRDefault="002545DC" w:rsidP="006A4D7F">
            <w:pPr>
              <w:spacing w:after="0" w:line="240" w:lineRule="auto"/>
              <w:jc w:val="both"/>
              <w:rPr>
                <w:rFonts w:ascii="Times New Roman" w:eastAsia="Times New Roman" w:hAnsi="Times New Roman" w:cs="Times New Roman"/>
                <w:color w:val="000000"/>
                <w:sz w:val="24"/>
                <w:szCs w:val="24"/>
                <w:lang w:eastAsia="es-AR"/>
              </w:rPr>
            </w:pPr>
            <w:r w:rsidRPr="00D91F3F">
              <w:rPr>
                <w:rFonts w:ascii="Times New Roman" w:eastAsia="Times New Roman" w:hAnsi="Times New Roman" w:cs="Times New Roman"/>
                <w:color w:val="000000"/>
                <w:sz w:val="24"/>
                <w:szCs w:val="24"/>
                <w:lang w:eastAsia="es-AR"/>
              </w:rPr>
              <w:t>Salarios como obrero o empleado</w:t>
            </w:r>
            <w:r w:rsidRPr="00D91F3F">
              <w:rPr>
                <w:rFonts w:ascii="Times New Roman" w:eastAsia="Times New Roman" w:hAnsi="Times New Roman" w:cs="Times New Roman"/>
                <w:color w:val="000000"/>
                <w:sz w:val="24"/>
                <w:szCs w:val="24"/>
                <w:lang w:eastAsia="es-AR"/>
              </w:rPr>
              <w:br/>
              <w:t>no profesional que</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trabaja en establecimiento</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privado con hasta cinco ocupados.</w:t>
            </w:r>
          </w:p>
        </w:tc>
      </w:tr>
      <w:tr w:rsidR="002545DC" w:rsidRPr="00D91F3F" w:rsidTr="006822A4">
        <w:trPr>
          <w:trHeight w:val="2403"/>
          <w:jc w:val="center"/>
        </w:trPr>
        <w:tc>
          <w:tcPr>
            <w:tcW w:w="3660" w:type="dxa"/>
            <w:vMerge/>
            <w:vAlign w:val="center"/>
            <w:hideMark/>
          </w:tcPr>
          <w:p w:rsidR="002545DC" w:rsidRPr="00D91F3F" w:rsidRDefault="002545DC" w:rsidP="002545DC">
            <w:pPr>
              <w:spacing w:after="0" w:line="240" w:lineRule="auto"/>
              <w:rPr>
                <w:rFonts w:ascii="Times New Roman" w:eastAsia="Times New Roman" w:hAnsi="Times New Roman" w:cs="Times New Roman"/>
                <w:color w:val="000000"/>
                <w:sz w:val="24"/>
                <w:szCs w:val="24"/>
                <w:lang w:eastAsia="es-AR"/>
              </w:rPr>
            </w:pPr>
          </w:p>
        </w:tc>
        <w:tc>
          <w:tcPr>
            <w:tcW w:w="2231" w:type="dxa"/>
            <w:shd w:val="clear" w:color="auto" w:fill="auto"/>
            <w:noWrap/>
            <w:vAlign w:val="center"/>
            <w:hideMark/>
          </w:tcPr>
          <w:p w:rsidR="002545DC" w:rsidRPr="00D91F3F" w:rsidRDefault="002545DC" w:rsidP="000D55A1">
            <w:pPr>
              <w:spacing w:after="0" w:line="240" w:lineRule="auto"/>
              <w:jc w:val="center"/>
              <w:rPr>
                <w:rFonts w:ascii="Times New Roman" w:eastAsia="Times New Roman" w:hAnsi="Times New Roman" w:cs="Times New Roman"/>
                <w:b/>
                <w:bCs/>
                <w:color w:val="000000"/>
                <w:sz w:val="24"/>
                <w:szCs w:val="24"/>
                <w:lang w:eastAsia="es-AR"/>
              </w:rPr>
            </w:pPr>
            <w:r w:rsidRPr="00D91F3F">
              <w:rPr>
                <w:rFonts w:ascii="Times New Roman" w:eastAsia="Times New Roman" w:hAnsi="Times New Roman" w:cs="Times New Roman"/>
                <w:b/>
                <w:bCs/>
                <w:color w:val="000000"/>
                <w:sz w:val="24"/>
                <w:szCs w:val="24"/>
                <w:lang w:eastAsia="es-AR"/>
              </w:rPr>
              <w:t>NO ASALARIADO</w:t>
            </w:r>
          </w:p>
        </w:tc>
        <w:tc>
          <w:tcPr>
            <w:tcW w:w="3584" w:type="dxa"/>
            <w:shd w:val="clear" w:color="auto" w:fill="auto"/>
            <w:vAlign w:val="center"/>
            <w:hideMark/>
          </w:tcPr>
          <w:p w:rsidR="002545DC" w:rsidRPr="00D91F3F" w:rsidRDefault="002545DC" w:rsidP="006A4D7F">
            <w:pPr>
              <w:spacing w:after="0" w:line="240" w:lineRule="auto"/>
              <w:jc w:val="both"/>
              <w:rPr>
                <w:rFonts w:ascii="Times New Roman" w:eastAsia="Times New Roman" w:hAnsi="Times New Roman" w:cs="Times New Roman"/>
                <w:color w:val="000000"/>
                <w:sz w:val="24"/>
                <w:szCs w:val="24"/>
                <w:lang w:eastAsia="es-AR"/>
              </w:rPr>
            </w:pPr>
            <w:r w:rsidRPr="00D91F3F">
              <w:rPr>
                <w:rFonts w:ascii="Times New Roman" w:eastAsia="Times New Roman" w:hAnsi="Times New Roman" w:cs="Times New Roman"/>
                <w:color w:val="000000"/>
                <w:sz w:val="24"/>
                <w:szCs w:val="24"/>
                <w:lang w:eastAsia="es-AR"/>
              </w:rPr>
              <w:t>Utilidades como cuenta propia</w:t>
            </w:r>
            <w:r w:rsidRPr="00D91F3F">
              <w:rPr>
                <w:rFonts w:ascii="Times New Roman" w:eastAsia="Times New Roman" w:hAnsi="Times New Roman" w:cs="Times New Roman"/>
                <w:color w:val="000000"/>
                <w:sz w:val="24"/>
                <w:szCs w:val="24"/>
                <w:lang w:eastAsia="es-AR"/>
              </w:rPr>
              <w:br w:type="page"/>
              <w:t xml:space="preserve">o ayuda familiar sin </w:t>
            </w:r>
            <w:r w:rsidR="006A4D7F" w:rsidRPr="00D91F3F">
              <w:rPr>
                <w:rFonts w:ascii="Times New Roman" w:eastAsia="Times New Roman" w:hAnsi="Times New Roman" w:cs="Times New Roman"/>
                <w:color w:val="000000"/>
                <w:sz w:val="24"/>
                <w:szCs w:val="24"/>
                <w:lang w:eastAsia="es-AR"/>
              </w:rPr>
              <w:t>c</w:t>
            </w:r>
            <w:r w:rsidRPr="00D91F3F">
              <w:rPr>
                <w:rFonts w:ascii="Times New Roman" w:eastAsia="Times New Roman" w:hAnsi="Times New Roman" w:cs="Times New Roman"/>
                <w:color w:val="000000"/>
                <w:sz w:val="24"/>
                <w:szCs w:val="24"/>
                <w:lang w:eastAsia="es-AR"/>
              </w:rPr>
              <w:t>alificación</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br w:type="page"/>
              <w:t>profesional.</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br w:type="page"/>
              <w:t>Ganancias como patrón de</w:t>
            </w:r>
            <w:r w:rsidRPr="00D91F3F">
              <w:rPr>
                <w:rFonts w:ascii="Times New Roman" w:eastAsia="Times New Roman" w:hAnsi="Times New Roman" w:cs="Times New Roman"/>
                <w:color w:val="000000"/>
                <w:sz w:val="24"/>
                <w:szCs w:val="24"/>
                <w:lang w:eastAsia="es-AR"/>
              </w:rPr>
              <w:br w:type="page"/>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establecimiento con hasta</w:t>
            </w:r>
            <w:r w:rsidRPr="00D91F3F">
              <w:rPr>
                <w:rFonts w:ascii="Times New Roman" w:eastAsia="Times New Roman" w:hAnsi="Times New Roman" w:cs="Times New Roman"/>
                <w:color w:val="000000"/>
                <w:sz w:val="24"/>
                <w:szCs w:val="24"/>
                <w:lang w:eastAsia="es-AR"/>
              </w:rPr>
              <w:br w:type="page"/>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cinco empleados con calificación</w:t>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br w:type="page"/>
              <w:t>no profesional</w:t>
            </w:r>
            <w:r w:rsidR="006A4D7F" w:rsidRPr="00D91F3F">
              <w:rPr>
                <w:rFonts w:ascii="Times New Roman" w:eastAsia="Times New Roman" w:hAnsi="Times New Roman" w:cs="Times New Roman"/>
                <w:color w:val="000000"/>
                <w:sz w:val="24"/>
                <w:szCs w:val="24"/>
                <w:lang w:eastAsia="es-AR"/>
              </w:rPr>
              <w:t xml:space="preserve">. </w:t>
            </w:r>
            <w:r w:rsidR="006A4D7F" w:rsidRPr="00D91F3F">
              <w:rPr>
                <w:rFonts w:ascii="Times New Roman" w:eastAsia="Times New Roman" w:hAnsi="Times New Roman" w:cs="Times New Roman"/>
                <w:color w:val="000000"/>
                <w:sz w:val="24"/>
                <w:szCs w:val="24"/>
                <w:lang w:eastAsia="es-AR"/>
              </w:rPr>
              <w:br w:type="page"/>
              <w:t xml:space="preserve">Ingresos como </w:t>
            </w:r>
            <w:r w:rsidRPr="00D91F3F">
              <w:rPr>
                <w:rFonts w:ascii="Times New Roman" w:eastAsia="Times New Roman" w:hAnsi="Times New Roman" w:cs="Times New Roman"/>
                <w:color w:val="000000"/>
                <w:sz w:val="24"/>
                <w:szCs w:val="24"/>
                <w:lang w:eastAsia="es-AR"/>
              </w:rPr>
              <w:t>trabajador</w:t>
            </w:r>
            <w:r w:rsidRPr="00D91F3F">
              <w:rPr>
                <w:rFonts w:ascii="Times New Roman" w:eastAsia="Times New Roman" w:hAnsi="Times New Roman" w:cs="Times New Roman"/>
                <w:color w:val="000000"/>
                <w:sz w:val="24"/>
                <w:szCs w:val="24"/>
                <w:lang w:eastAsia="es-AR"/>
              </w:rPr>
              <w:br w:type="page"/>
            </w:r>
            <w:r w:rsidR="006A4D7F" w:rsidRPr="00D91F3F">
              <w:rPr>
                <w:rFonts w:ascii="Times New Roman" w:eastAsia="Times New Roman" w:hAnsi="Times New Roman" w:cs="Times New Roman"/>
                <w:color w:val="000000"/>
                <w:sz w:val="24"/>
                <w:szCs w:val="24"/>
                <w:lang w:eastAsia="es-AR"/>
              </w:rPr>
              <w:t xml:space="preserve"> que presta servicios </w:t>
            </w:r>
            <w:r w:rsidRPr="00D91F3F">
              <w:rPr>
                <w:rFonts w:ascii="Times New Roman" w:eastAsia="Times New Roman" w:hAnsi="Times New Roman" w:cs="Times New Roman"/>
                <w:color w:val="000000"/>
                <w:sz w:val="24"/>
                <w:szCs w:val="24"/>
                <w:lang w:eastAsia="es-AR"/>
              </w:rPr>
              <w:t>domésticos</w:t>
            </w:r>
            <w:r w:rsidRPr="00D91F3F">
              <w:rPr>
                <w:rFonts w:ascii="Times New Roman" w:eastAsia="Times New Roman" w:hAnsi="Times New Roman" w:cs="Times New Roman"/>
                <w:color w:val="000000"/>
                <w:sz w:val="24"/>
                <w:szCs w:val="24"/>
                <w:lang w:eastAsia="es-AR"/>
              </w:rPr>
              <w:br w:type="page"/>
            </w:r>
            <w:r w:rsidR="006A4D7F"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en hogares particulares.</w:t>
            </w:r>
          </w:p>
        </w:tc>
      </w:tr>
      <w:tr w:rsidR="002545DC" w:rsidRPr="00D91F3F" w:rsidTr="006822A4">
        <w:trPr>
          <w:trHeight w:val="1594"/>
          <w:jc w:val="center"/>
        </w:trPr>
        <w:tc>
          <w:tcPr>
            <w:tcW w:w="3660" w:type="dxa"/>
            <w:shd w:val="clear" w:color="auto" w:fill="auto"/>
            <w:vAlign w:val="bottom"/>
            <w:hideMark/>
          </w:tcPr>
          <w:p w:rsidR="006A4D7F" w:rsidRPr="00D91F3F" w:rsidRDefault="002545DC" w:rsidP="006A4D7F">
            <w:pPr>
              <w:spacing w:after="0" w:line="240" w:lineRule="auto"/>
              <w:jc w:val="both"/>
              <w:rPr>
                <w:rFonts w:ascii="Times New Roman" w:eastAsia="Times New Roman" w:hAnsi="Times New Roman" w:cs="Times New Roman"/>
                <w:b/>
                <w:color w:val="000000"/>
                <w:sz w:val="24"/>
                <w:szCs w:val="24"/>
                <w:lang w:eastAsia="es-AR"/>
              </w:rPr>
            </w:pPr>
            <w:r w:rsidRPr="00D91F3F">
              <w:rPr>
                <w:rFonts w:ascii="Times New Roman" w:eastAsia="Times New Roman" w:hAnsi="Times New Roman" w:cs="Times New Roman"/>
                <w:b/>
                <w:color w:val="000000"/>
                <w:sz w:val="24"/>
                <w:szCs w:val="24"/>
                <w:lang w:eastAsia="es-AR"/>
              </w:rPr>
              <w:lastRenderedPageBreak/>
              <w:t>SECTOR PUBLICO</w:t>
            </w:r>
          </w:p>
          <w:p w:rsidR="002545DC" w:rsidRPr="00D91F3F" w:rsidRDefault="002545DC" w:rsidP="006A4D7F">
            <w:pPr>
              <w:spacing w:after="0" w:line="240" w:lineRule="auto"/>
              <w:jc w:val="both"/>
              <w:rPr>
                <w:rFonts w:ascii="Times New Roman" w:eastAsia="Times New Roman" w:hAnsi="Times New Roman" w:cs="Times New Roman"/>
                <w:color w:val="000000"/>
                <w:sz w:val="24"/>
                <w:szCs w:val="24"/>
                <w:lang w:eastAsia="es-AR"/>
              </w:rPr>
            </w:pPr>
            <w:r w:rsidRPr="00D91F3F">
              <w:rPr>
                <w:rFonts w:ascii="Times New Roman" w:eastAsia="Times New Roman" w:hAnsi="Times New Roman" w:cs="Times New Roman"/>
                <w:color w:val="000000"/>
                <w:sz w:val="24"/>
                <w:szCs w:val="24"/>
                <w:lang w:eastAsia="es-AR"/>
              </w:rPr>
              <w:br/>
              <w:t>Actividades laborales vinculadas</w:t>
            </w:r>
            <w:r w:rsidRPr="00D91F3F">
              <w:rPr>
                <w:rFonts w:ascii="Times New Roman" w:eastAsia="Times New Roman" w:hAnsi="Times New Roman" w:cs="Times New Roman"/>
                <w:color w:val="000000"/>
                <w:sz w:val="24"/>
                <w:szCs w:val="24"/>
                <w:lang w:eastAsia="es-AR"/>
              </w:rPr>
              <w:br/>
              <w:t>al desarrollo de la función</w:t>
            </w:r>
            <w:r w:rsidRPr="00D91F3F">
              <w:rPr>
                <w:rFonts w:ascii="Times New Roman" w:eastAsia="Times New Roman" w:hAnsi="Times New Roman" w:cs="Times New Roman"/>
                <w:color w:val="000000"/>
                <w:sz w:val="24"/>
                <w:szCs w:val="24"/>
                <w:lang w:eastAsia="es-AR"/>
              </w:rPr>
              <w:br/>
              <w:t>estatal en sus distintos niveles</w:t>
            </w:r>
            <w:r w:rsidRPr="00D91F3F">
              <w:rPr>
                <w:rFonts w:ascii="Times New Roman" w:eastAsia="Times New Roman" w:hAnsi="Times New Roman" w:cs="Times New Roman"/>
                <w:color w:val="000000"/>
                <w:sz w:val="24"/>
                <w:szCs w:val="24"/>
                <w:lang w:eastAsia="es-AR"/>
              </w:rPr>
              <w:br/>
              <w:t>de gestión. Es decir, ocupaciones</w:t>
            </w:r>
            <w:r w:rsidRPr="00D91F3F">
              <w:rPr>
                <w:rFonts w:ascii="Times New Roman" w:eastAsia="Times New Roman" w:hAnsi="Times New Roman" w:cs="Times New Roman"/>
                <w:color w:val="000000"/>
                <w:sz w:val="24"/>
                <w:szCs w:val="24"/>
                <w:lang w:eastAsia="es-AR"/>
              </w:rPr>
              <w:br/>
              <w:t>en el sector público nacional,</w:t>
            </w:r>
            <w:r w:rsidRPr="00D91F3F">
              <w:rPr>
                <w:rFonts w:ascii="Times New Roman" w:eastAsia="Times New Roman" w:hAnsi="Times New Roman" w:cs="Times New Roman"/>
                <w:color w:val="000000"/>
                <w:sz w:val="24"/>
                <w:szCs w:val="24"/>
                <w:lang w:eastAsia="es-AR"/>
              </w:rPr>
              <w:br/>
              <w:t>provincial o municipal.</w:t>
            </w:r>
          </w:p>
        </w:tc>
        <w:tc>
          <w:tcPr>
            <w:tcW w:w="2231" w:type="dxa"/>
            <w:shd w:val="clear" w:color="auto" w:fill="auto"/>
            <w:noWrap/>
            <w:vAlign w:val="center"/>
            <w:hideMark/>
          </w:tcPr>
          <w:p w:rsidR="002545DC" w:rsidRPr="00D91F3F" w:rsidRDefault="002545DC" w:rsidP="006A4D7F">
            <w:pPr>
              <w:spacing w:after="0" w:line="240" w:lineRule="auto"/>
              <w:jc w:val="both"/>
              <w:rPr>
                <w:rFonts w:ascii="Times New Roman" w:eastAsia="Times New Roman" w:hAnsi="Times New Roman" w:cs="Times New Roman"/>
                <w:b/>
                <w:bCs/>
                <w:color w:val="000000"/>
                <w:sz w:val="24"/>
                <w:szCs w:val="24"/>
                <w:lang w:eastAsia="es-AR"/>
              </w:rPr>
            </w:pPr>
            <w:r w:rsidRPr="00D91F3F">
              <w:rPr>
                <w:rFonts w:ascii="Times New Roman" w:eastAsia="Times New Roman" w:hAnsi="Times New Roman" w:cs="Times New Roman"/>
                <w:b/>
                <w:bCs/>
                <w:color w:val="000000"/>
                <w:sz w:val="24"/>
                <w:szCs w:val="24"/>
                <w:lang w:eastAsia="es-AR"/>
              </w:rPr>
              <w:t>ASALARIADOS</w:t>
            </w:r>
          </w:p>
        </w:tc>
        <w:tc>
          <w:tcPr>
            <w:tcW w:w="3584" w:type="dxa"/>
            <w:shd w:val="clear" w:color="auto" w:fill="auto"/>
            <w:vAlign w:val="bottom"/>
            <w:hideMark/>
          </w:tcPr>
          <w:p w:rsidR="002545DC" w:rsidRPr="00D91F3F" w:rsidRDefault="002545DC" w:rsidP="006A4D7F">
            <w:pPr>
              <w:spacing w:after="0" w:line="240" w:lineRule="auto"/>
              <w:jc w:val="both"/>
              <w:rPr>
                <w:rFonts w:ascii="Times New Roman" w:eastAsia="Times New Roman" w:hAnsi="Times New Roman" w:cs="Times New Roman"/>
                <w:color w:val="000000"/>
                <w:sz w:val="24"/>
                <w:szCs w:val="24"/>
                <w:lang w:eastAsia="es-AR"/>
              </w:rPr>
            </w:pPr>
            <w:r w:rsidRPr="00D91F3F">
              <w:rPr>
                <w:rFonts w:ascii="Times New Roman" w:eastAsia="Times New Roman" w:hAnsi="Times New Roman" w:cs="Times New Roman"/>
                <w:color w:val="000000"/>
                <w:sz w:val="24"/>
                <w:szCs w:val="24"/>
                <w:lang w:eastAsia="es-AR"/>
              </w:rPr>
              <w:t xml:space="preserve">Salarios de obrero </w:t>
            </w:r>
            <w:r w:rsidR="006A4D7F" w:rsidRPr="00D91F3F">
              <w:rPr>
                <w:rFonts w:ascii="Times New Roman" w:eastAsia="Times New Roman" w:hAnsi="Times New Roman" w:cs="Times New Roman"/>
                <w:color w:val="000000"/>
                <w:sz w:val="24"/>
                <w:szCs w:val="24"/>
                <w:lang w:eastAsia="es-AR"/>
              </w:rPr>
              <w:t>y empleado</w:t>
            </w:r>
            <w:r w:rsidR="006A4D7F" w:rsidRPr="00D91F3F">
              <w:rPr>
                <w:rFonts w:ascii="Times New Roman" w:eastAsia="Times New Roman" w:hAnsi="Times New Roman" w:cs="Times New Roman"/>
                <w:color w:val="000000"/>
                <w:sz w:val="24"/>
                <w:szCs w:val="24"/>
                <w:lang w:eastAsia="es-AR"/>
              </w:rPr>
              <w:br/>
              <w:t xml:space="preserve">ocupado en el sector </w:t>
            </w:r>
            <w:r w:rsidRPr="00D91F3F">
              <w:rPr>
                <w:rFonts w:ascii="Times New Roman" w:eastAsia="Times New Roman" w:hAnsi="Times New Roman" w:cs="Times New Roman"/>
                <w:color w:val="000000"/>
                <w:sz w:val="24"/>
                <w:szCs w:val="24"/>
                <w:lang w:eastAsia="es-AR"/>
              </w:rPr>
              <w:t>público.</w:t>
            </w:r>
            <w:r w:rsidRPr="00D91F3F">
              <w:rPr>
                <w:rFonts w:ascii="Times New Roman" w:eastAsia="Times New Roman" w:hAnsi="Times New Roman" w:cs="Times New Roman"/>
                <w:color w:val="000000"/>
                <w:sz w:val="24"/>
                <w:szCs w:val="24"/>
                <w:lang w:eastAsia="es-AR"/>
              </w:rPr>
              <w:br/>
            </w:r>
            <w:r w:rsidRPr="00D91F3F">
              <w:rPr>
                <w:rFonts w:ascii="Times New Roman" w:eastAsia="Times New Roman" w:hAnsi="Times New Roman" w:cs="Times New Roman"/>
                <w:color w:val="000000"/>
                <w:sz w:val="24"/>
                <w:szCs w:val="24"/>
                <w:lang w:eastAsia="es-AR"/>
              </w:rPr>
              <w:br/>
              <w:t>Salarios de beneficiarios de</w:t>
            </w:r>
            <w:r w:rsidRPr="00D91F3F">
              <w:rPr>
                <w:rFonts w:ascii="Times New Roman" w:eastAsia="Times New Roman" w:hAnsi="Times New Roman" w:cs="Times New Roman"/>
                <w:color w:val="000000"/>
                <w:sz w:val="24"/>
                <w:szCs w:val="24"/>
                <w:lang w:eastAsia="es-AR"/>
              </w:rPr>
              <w:br/>
              <w:t>programas sociales que re</w:t>
            </w:r>
            <w:r w:rsidR="006A4D7F" w:rsidRPr="00D91F3F">
              <w:rPr>
                <w:rFonts w:ascii="Times New Roman" w:eastAsia="Times New Roman" w:hAnsi="Times New Roman" w:cs="Times New Roman"/>
                <w:color w:val="000000"/>
                <w:sz w:val="24"/>
                <w:szCs w:val="24"/>
                <w:lang w:eastAsia="es-AR"/>
              </w:rPr>
              <w:t>alizan</w:t>
            </w:r>
            <w:r w:rsidR="006A4D7F" w:rsidRPr="00D91F3F">
              <w:rPr>
                <w:rFonts w:ascii="Times New Roman" w:eastAsia="Times New Roman" w:hAnsi="Times New Roman" w:cs="Times New Roman"/>
                <w:color w:val="000000"/>
                <w:sz w:val="24"/>
                <w:szCs w:val="24"/>
                <w:lang w:eastAsia="es-AR"/>
              </w:rPr>
              <w:br/>
              <w:t xml:space="preserve">contraprestación laboral </w:t>
            </w:r>
            <w:r w:rsidRPr="00D91F3F">
              <w:rPr>
                <w:rFonts w:ascii="Times New Roman" w:eastAsia="Times New Roman" w:hAnsi="Times New Roman" w:cs="Times New Roman"/>
                <w:color w:val="000000"/>
                <w:sz w:val="24"/>
                <w:szCs w:val="24"/>
                <w:lang w:eastAsia="es-AR"/>
              </w:rPr>
              <w:t>para el sector público.</w:t>
            </w:r>
          </w:p>
          <w:p w:rsidR="003E3D00" w:rsidRPr="00D91F3F" w:rsidRDefault="003E3D00" w:rsidP="006A4D7F">
            <w:pPr>
              <w:spacing w:after="0" w:line="240" w:lineRule="auto"/>
              <w:jc w:val="both"/>
              <w:rPr>
                <w:rFonts w:ascii="Times New Roman" w:eastAsia="Times New Roman" w:hAnsi="Times New Roman" w:cs="Times New Roman"/>
                <w:color w:val="000000"/>
                <w:sz w:val="24"/>
                <w:szCs w:val="24"/>
                <w:lang w:eastAsia="es-AR"/>
              </w:rPr>
            </w:pPr>
          </w:p>
        </w:tc>
      </w:tr>
    </w:tbl>
    <w:p w:rsidR="002545DC" w:rsidRPr="002F5276" w:rsidRDefault="003E3D00" w:rsidP="003E3D00">
      <w:pPr>
        <w:autoSpaceDE w:val="0"/>
        <w:autoSpaceDN w:val="0"/>
        <w:adjustRightInd w:val="0"/>
        <w:spacing w:after="0" w:line="240" w:lineRule="auto"/>
        <w:jc w:val="both"/>
        <w:rPr>
          <w:rFonts w:ascii="Times New Roman" w:hAnsi="Times New Roman" w:cs="Times New Roman"/>
          <w:szCs w:val="24"/>
        </w:rPr>
      </w:pPr>
      <w:r w:rsidRPr="002F5276">
        <w:rPr>
          <w:rFonts w:ascii="Times New Roman" w:hAnsi="Times New Roman" w:cs="Times New Roman"/>
          <w:b/>
          <w:szCs w:val="24"/>
        </w:rPr>
        <w:t>Fuente:</w:t>
      </w:r>
      <w:r w:rsidRPr="002F5276">
        <w:rPr>
          <w:rFonts w:ascii="Times New Roman" w:hAnsi="Times New Roman" w:cs="Times New Roman"/>
          <w:szCs w:val="24"/>
        </w:rPr>
        <w:t xml:space="preserve"> Programa Cambio Estructural y Desigualdad Social, Instituto de Investigaciones Gino </w:t>
      </w:r>
      <w:proofErr w:type="spellStart"/>
      <w:r w:rsidRPr="002F5276">
        <w:rPr>
          <w:rFonts w:ascii="Times New Roman" w:hAnsi="Times New Roman" w:cs="Times New Roman"/>
          <w:szCs w:val="24"/>
        </w:rPr>
        <w:t>Germani</w:t>
      </w:r>
      <w:proofErr w:type="spellEnd"/>
      <w:r w:rsidRPr="002F5276">
        <w:rPr>
          <w:rFonts w:ascii="Times New Roman" w:hAnsi="Times New Roman" w:cs="Times New Roman"/>
          <w:szCs w:val="24"/>
        </w:rPr>
        <w:t xml:space="preserve"> (IIGG)-FSC-UBA, con base en datos de la EPH INDEC.</w:t>
      </w:r>
    </w:p>
    <w:p w:rsidR="003E3D00" w:rsidRDefault="003E3D00" w:rsidP="003E3D00">
      <w:pPr>
        <w:spacing w:after="0"/>
        <w:jc w:val="both"/>
        <w:rPr>
          <w:rFonts w:ascii="Times New Roman" w:hAnsi="Times New Roman" w:cs="Times New Roman"/>
          <w:b/>
          <w:sz w:val="24"/>
          <w:szCs w:val="24"/>
        </w:rPr>
      </w:pPr>
    </w:p>
    <w:p w:rsidR="0066563C" w:rsidRDefault="0066563C" w:rsidP="003E3D00">
      <w:pPr>
        <w:spacing w:after="0"/>
        <w:jc w:val="both"/>
        <w:rPr>
          <w:rFonts w:ascii="Times New Roman" w:hAnsi="Times New Roman" w:cs="Times New Roman"/>
          <w:b/>
          <w:sz w:val="24"/>
          <w:szCs w:val="24"/>
        </w:rPr>
      </w:pPr>
    </w:p>
    <w:p w:rsidR="003E3D00" w:rsidRPr="00D91F3F" w:rsidRDefault="003E3D00" w:rsidP="003E3D00">
      <w:pPr>
        <w:spacing w:after="0"/>
        <w:jc w:val="both"/>
        <w:rPr>
          <w:rFonts w:ascii="Times New Roman" w:hAnsi="Times New Roman" w:cs="Times New Roman"/>
          <w:b/>
          <w:sz w:val="24"/>
          <w:szCs w:val="24"/>
        </w:rPr>
      </w:pPr>
      <w:r w:rsidRPr="00D91F3F">
        <w:rPr>
          <w:rFonts w:ascii="Times New Roman" w:hAnsi="Times New Roman" w:cs="Times New Roman"/>
          <w:b/>
          <w:sz w:val="24"/>
          <w:szCs w:val="24"/>
        </w:rPr>
        <w:t xml:space="preserve">Tabla AM.2 </w:t>
      </w:r>
      <w:r w:rsidRPr="002F5276">
        <w:rPr>
          <w:rFonts w:ascii="Times New Roman" w:hAnsi="Times New Roman" w:cs="Times New Roman"/>
          <w:sz w:val="24"/>
          <w:szCs w:val="24"/>
        </w:rPr>
        <w:t>Desglose de los segmentos del mercado de trabajo. Clasificación operativa de la calidad del empleo.</w:t>
      </w:r>
    </w:p>
    <w:p w:rsidR="003E3D00" w:rsidRPr="00D91F3F" w:rsidRDefault="003E3D00" w:rsidP="003E3D00">
      <w:pPr>
        <w:autoSpaceDE w:val="0"/>
        <w:autoSpaceDN w:val="0"/>
        <w:adjustRightInd w:val="0"/>
        <w:spacing w:after="0" w:line="240" w:lineRule="auto"/>
        <w:jc w:val="both"/>
        <w:rPr>
          <w:rFonts w:ascii="Times New Roman" w:hAnsi="Times New Roman" w:cs="Times New Roman"/>
          <w:sz w:val="24"/>
          <w:szCs w:val="24"/>
        </w:rPr>
      </w:pPr>
    </w:p>
    <w:tbl>
      <w:tblPr>
        <w:tblW w:w="8968" w:type="dxa"/>
        <w:jc w:val="center"/>
        <w:tblCellMar>
          <w:left w:w="70" w:type="dxa"/>
          <w:right w:w="70" w:type="dxa"/>
        </w:tblCellMar>
        <w:tblLook w:val="04A0" w:firstRow="1" w:lastRow="0" w:firstColumn="1" w:lastColumn="0" w:noHBand="0" w:noVBand="1"/>
      </w:tblPr>
      <w:tblGrid>
        <w:gridCol w:w="738"/>
        <w:gridCol w:w="3961"/>
        <w:gridCol w:w="4269"/>
      </w:tblGrid>
      <w:tr w:rsidR="001D7BD7" w:rsidRPr="00D91F3F" w:rsidTr="001D0395">
        <w:trPr>
          <w:trHeight w:val="288"/>
          <w:jc w:val="center"/>
        </w:trPr>
        <w:tc>
          <w:tcPr>
            <w:tcW w:w="73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D7BD7" w:rsidRPr="00D91F3F" w:rsidRDefault="001D7BD7" w:rsidP="001D7BD7">
            <w:pPr>
              <w:spacing w:after="0" w:line="240" w:lineRule="auto"/>
              <w:rPr>
                <w:rFonts w:ascii="Times New Roman" w:eastAsia="Times New Roman" w:hAnsi="Times New Roman" w:cs="Times New Roman"/>
                <w:color w:val="000000"/>
                <w:sz w:val="24"/>
                <w:szCs w:val="24"/>
                <w:lang w:eastAsia="es-AR"/>
              </w:rPr>
            </w:pPr>
            <w:r w:rsidRPr="00D91F3F">
              <w:rPr>
                <w:rFonts w:ascii="Times New Roman" w:eastAsia="Times New Roman" w:hAnsi="Times New Roman" w:cs="Times New Roman"/>
                <w:color w:val="000000"/>
                <w:sz w:val="24"/>
                <w:szCs w:val="24"/>
                <w:lang w:eastAsia="es-AR"/>
              </w:rPr>
              <w:t> </w:t>
            </w:r>
          </w:p>
        </w:tc>
        <w:tc>
          <w:tcPr>
            <w:tcW w:w="823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1D7BD7" w:rsidRPr="00D91F3F" w:rsidRDefault="001D7BD7" w:rsidP="001D7BD7">
            <w:pPr>
              <w:spacing w:after="0" w:line="240" w:lineRule="auto"/>
              <w:jc w:val="center"/>
              <w:rPr>
                <w:rFonts w:ascii="Times New Roman" w:eastAsia="Times New Roman" w:hAnsi="Times New Roman" w:cs="Times New Roman"/>
                <w:b/>
                <w:bCs/>
                <w:color w:val="000000"/>
                <w:sz w:val="24"/>
                <w:szCs w:val="24"/>
                <w:lang w:eastAsia="es-AR"/>
              </w:rPr>
            </w:pPr>
            <w:r w:rsidRPr="00D91F3F">
              <w:rPr>
                <w:rFonts w:ascii="Times New Roman" w:eastAsia="Times New Roman" w:hAnsi="Times New Roman" w:cs="Times New Roman"/>
                <w:b/>
                <w:bCs/>
                <w:color w:val="000000"/>
                <w:sz w:val="24"/>
                <w:szCs w:val="24"/>
                <w:lang w:eastAsia="es-AR"/>
              </w:rPr>
              <w:t>SEGMENTO PRIMARIO DEL MERCADO DE TRABAJO</w:t>
            </w:r>
          </w:p>
        </w:tc>
      </w:tr>
      <w:tr w:rsidR="001D7BD7" w:rsidRPr="00D91F3F" w:rsidTr="001D0395">
        <w:trPr>
          <w:cantSplit/>
          <w:trHeight w:val="2224"/>
          <w:jc w:val="center"/>
        </w:trPr>
        <w:tc>
          <w:tcPr>
            <w:tcW w:w="738" w:type="dxa"/>
            <w:tcBorders>
              <w:top w:val="nil"/>
              <w:left w:val="single" w:sz="8" w:space="0" w:color="auto"/>
              <w:bottom w:val="single" w:sz="4" w:space="0" w:color="auto"/>
              <w:right w:val="single" w:sz="4" w:space="0" w:color="auto"/>
            </w:tcBorders>
            <w:shd w:val="clear" w:color="auto" w:fill="auto"/>
            <w:noWrap/>
            <w:textDirection w:val="btLr"/>
            <w:vAlign w:val="center"/>
            <w:hideMark/>
          </w:tcPr>
          <w:p w:rsidR="001D7BD7" w:rsidRPr="00D91F3F" w:rsidRDefault="001D7BD7" w:rsidP="001D7BD7">
            <w:pPr>
              <w:spacing w:after="0" w:line="240" w:lineRule="auto"/>
              <w:ind w:left="113" w:right="113"/>
              <w:jc w:val="center"/>
              <w:rPr>
                <w:rFonts w:ascii="Times New Roman" w:eastAsia="Times New Roman" w:hAnsi="Times New Roman" w:cs="Times New Roman"/>
                <w:b/>
                <w:bCs/>
                <w:color w:val="000000"/>
                <w:sz w:val="24"/>
                <w:szCs w:val="24"/>
                <w:lang w:eastAsia="es-AR"/>
              </w:rPr>
            </w:pPr>
            <w:r w:rsidRPr="00D91F3F">
              <w:rPr>
                <w:rFonts w:ascii="Times New Roman" w:eastAsia="Times New Roman" w:hAnsi="Times New Roman" w:cs="Times New Roman"/>
                <w:b/>
                <w:bCs/>
                <w:color w:val="000000"/>
                <w:sz w:val="24"/>
                <w:szCs w:val="24"/>
                <w:lang w:eastAsia="es-AR"/>
              </w:rPr>
              <w:t>EMPLEO ESTABLE/ REGULADO</w:t>
            </w:r>
          </w:p>
        </w:tc>
        <w:tc>
          <w:tcPr>
            <w:tcW w:w="3961" w:type="dxa"/>
            <w:tcBorders>
              <w:top w:val="nil"/>
              <w:left w:val="nil"/>
              <w:bottom w:val="single" w:sz="4" w:space="0" w:color="auto"/>
              <w:right w:val="single" w:sz="4" w:space="0" w:color="auto"/>
            </w:tcBorders>
            <w:shd w:val="clear" w:color="auto" w:fill="auto"/>
            <w:vAlign w:val="bottom"/>
            <w:hideMark/>
          </w:tcPr>
          <w:p w:rsidR="001D0395" w:rsidRPr="00D91F3F" w:rsidRDefault="001D7BD7" w:rsidP="001D0395">
            <w:pPr>
              <w:spacing w:after="0" w:line="240" w:lineRule="auto"/>
              <w:jc w:val="both"/>
              <w:rPr>
                <w:rFonts w:ascii="Times New Roman" w:eastAsia="Times New Roman" w:hAnsi="Times New Roman" w:cs="Times New Roman"/>
                <w:b/>
                <w:color w:val="000000"/>
                <w:sz w:val="24"/>
                <w:szCs w:val="24"/>
                <w:lang w:eastAsia="es-AR"/>
              </w:rPr>
            </w:pPr>
            <w:r w:rsidRPr="00D91F3F">
              <w:rPr>
                <w:rFonts w:ascii="Times New Roman" w:eastAsia="Times New Roman" w:hAnsi="Times New Roman" w:cs="Times New Roman"/>
                <w:b/>
                <w:color w:val="000000"/>
                <w:sz w:val="24"/>
                <w:szCs w:val="24"/>
                <w:lang w:eastAsia="es-AR"/>
              </w:rPr>
              <w:t>EPH puntual</w:t>
            </w:r>
          </w:p>
          <w:p w:rsidR="001D7BD7" w:rsidRPr="00D91F3F" w:rsidRDefault="001D7BD7" w:rsidP="001D0395">
            <w:pPr>
              <w:spacing w:after="0" w:line="240" w:lineRule="auto"/>
              <w:jc w:val="both"/>
              <w:rPr>
                <w:rFonts w:ascii="Times New Roman" w:eastAsia="Times New Roman" w:hAnsi="Times New Roman" w:cs="Times New Roman"/>
                <w:color w:val="000000"/>
                <w:sz w:val="24"/>
                <w:szCs w:val="24"/>
                <w:lang w:eastAsia="es-AR"/>
              </w:rPr>
            </w:pPr>
            <w:r w:rsidRPr="00D91F3F">
              <w:rPr>
                <w:rFonts w:ascii="Times New Roman" w:eastAsia="Times New Roman" w:hAnsi="Times New Roman" w:cs="Times New Roman"/>
                <w:color w:val="000000"/>
                <w:sz w:val="24"/>
                <w:szCs w:val="24"/>
                <w:lang w:eastAsia="es-AR"/>
              </w:rPr>
              <w:t>Incluye a los asalariados con</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trabajo permanente e integrados</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 xml:space="preserve">a la </w:t>
            </w:r>
            <w:r w:rsidR="001D0395" w:rsidRPr="00D91F3F">
              <w:rPr>
                <w:rFonts w:ascii="Times New Roman" w:eastAsia="Times New Roman" w:hAnsi="Times New Roman" w:cs="Times New Roman"/>
                <w:color w:val="000000"/>
                <w:sz w:val="24"/>
                <w:szCs w:val="24"/>
                <w:lang w:eastAsia="es-AR"/>
              </w:rPr>
              <w:t xml:space="preserve">Seguridad Social (con descuento </w:t>
            </w:r>
            <w:r w:rsidRPr="00D91F3F">
              <w:rPr>
                <w:rFonts w:ascii="Times New Roman" w:eastAsia="Times New Roman" w:hAnsi="Times New Roman" w:cs="Times New Roman"/>
                <w:color w:val="000000"/>
                <w:sz w:val="24"/>
                <w:szCs w:val="24"/>
                <w:lang w:eastAsia="es-AR"/>
              </w:rPr>
              <w:t>jubilatorio), a los patrones</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 xml:space="preserve">o </w:t>
            </w:r>
            <w:r w:rsidR="001D0395" w:rsidRPr="00D91F3F">
              <w:rPr>
                <w:rFonts w:ascii="Times New Roman" w:eastAsia="Times New Roman" w:hAnsi="Times New Roman" w:cs="Times New Roman"/>
                <w:color w:val="000000"/>
                <w:sz w:val="24"/>
                <w:szCs w:val="24"/>
                <w:lang w:eastAsia="es-AR"/>
              </w:rPr>
              <w:t xml:space="preserve">empleadores con ocupación permanente que trabajan más de </w:t>
            </w:r>
            <w:r w:rsidRPr="00D91F3F">
              <w:rPr>
                <w:rFonts w:ascii="Times New Roman" w:eastAsia="Times New Roman" w:hAnsi="Times New Roman" w:cs="Times New Roman"/>
                <w:color w:val="000000"/>
                <w:sz w:val="24"/>
                <w:szCs w:val="24"/>
                <w:lang w:eastAsia="es-AR"/>
              </w:rPr>
              <w:t>34h o trabajan menos y no dese</w:t>
            </w:r>
            <w:r w:rsidR="001D0395" w:rsidRPr="00D91F3F">
              <w:rPr>
                <w:rFonts w:ascii="Times New Roman" w:eastAsia="Times New Roman" w:hAnsi="Times New Roman" w:cs="Times New Roman"/>
                <w:color w:val="000000"/>
                <w:sz w:val="24"/>
                <w:szCs w:val="24"/>
                <w:lang w:eastAsia="es-AR"/>
              </w:rPr>
              <w:t xml:space="preserve">an </w:t>
            </w:r>
            <w:r w:rsidRPr="00D91F3F">
              <w:rPr>
                <w:rFonts w:ascii="Times New Roman" w:eastAsia="Times New Roman" w:hAnsi="Times New Roman" w:cs="Times New Roman"/>
                <w:color w:val="000000"/>
                <w:sz w:val="24"/>
                <w:szCs w:val="24"/>
                <w:lang w:eastAsia="es-AR"/>
              </w:rPr>
              <w:t>tr</w:t>
            </w:r>
            <w:r w:rsidR="001D0395" w:rsidRPr="00D91F3F">
              <w:rPr>
                <w:rFonts w:ascii="Times New Roman" w:eastAsia="Times New Roman" w:hAnsi="Times New Roman" w:cs="Times New Roman"/>
                <w:color w:val="000000"/>
                <w:sz w:val="24"/>
                <w:szCs w:val="24"/>
                <w:lang w:eastAsia="es-AR"/>
              </w:rPr>
              <w:t xml:space="preserve">abajar más horas y a los cuenta </w:t>
            </w:r>
            <w:r w:rsidRPr="00D91F3F">
              <w:rPr>
                <w:rFonts w:ascii="Times New Roman" w:eastAsia="Times New Roman" w:hAnsi="Times New Roman" w:cs="Times New Roman"/>
                <w:color w:val="000000"/>
                <w:sz w:val="24"/>
                <w:szCs w:val="24"/>
                <w:lang w:eastAsia="es-AR"/>
              </w:rPr>
              <w:t>propia con ocupación permanente</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que trabajan más de 34h y no</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desean trabajar más.</w:t>
            </w:r>
          </w:p>
        </w:tc>
        <w:tc>
          <w:tcPr>
            <w:tcW w:w="4268" w:type="dxa"/>
            <w:tcBorders>
              <w:top w:val="nil"/>
              <w:left w:val="nil"/>
              <w:bottom w:val="single" w:sz="4" w:space="0" w:color="auto"/>
              <w:right w:val="single" w:sz="8" w:space="0" w:color="auto"/>
            </w:tcBorders>
            <w:shd w:val="clear" w:color="auto" w:fill="auto"/>
            <w:vAlign w:val="bottom"/>
            <w:hideMark/>
          </w:tcPr>
          <w:p w:rsidR="001D0395" w:rsidRPr="00D91F3F" w:rsidRDefault="001D7BD7" w:rsidP="001D0395">
            <w:pPr>
              <w:spacing w:after="0" w:line="240" w:lineRule="auto"/>
              <w:jc w:val="both"/>
              <w:rPr>
                <w:rFonts w:ascii="Times New Roman" w:eastAsia="Times New Roman" w:hAnsi="Times New Roman" w:cs="Times New Roman"/>
                <w:b/>
                <w:color w:val="000000"/>
                <w:sz w:val="24"/>
                <w:szCs w:val="24"/>
                <w:lang w:eastAsia="es-AR"/>
              </w:rPr>
            </w:pPr>
            <w:r w:rsidRPr="00D91F3F">
              <w:rPr>
                <w:rFonts w:ascii="Times New Roman" w:eastAsia="Times New Roman" w:hAnsi="Times New Roman" w:cs="Times New Roman"/>
                <w:b/>
                <w:color w:val="000000"/>
                <w:sz w:val="24"/>
                <w:szCs w:val="24"/>
                <w:lang w:eastAsia="es-AR"/>
              </w:rPr>
              <w:t>EPH continua</w:t>
            </w:r>
          </w:p>
          <w:p w:rsidR="001D7BD7" w:rsidRPr="00D91F3F" w:rsidRDefault="001D7BD7" w:rsidP="001D0395">
            <w:pPr>
              <w:spacing w:after="0" w:line="240" w:lineRule="auto"/>
              <w:jc w:val="both"/>
              <w:rPr>
                <w:rFonts w:ascii="Times New Roman" w:eastAsia="Times New Roman" w:hAnsi="Times New Roman" w:cs="Times New Roman"/>
                <w:color w:val="000000"/>
                <w:sz w:val="24"/>
                <w:szCs w:val="24"/>
                <w:lang w:eastAsia="es-AR"/>
              </w:rPr>
            </w:pPr>
            <w:r w:rsidRPr="00D91F3F">
              <w:rPr>
                <w:rFonts w:ascii="Times New Roman" w:eastAsia="Times New Roman" w:hAnsi="Times New Roman" w:cs="Times New Roman"/>
                <w:color w:val="000000"/>
                <w:sz w:val="24"/>
                <w:szCs w:val="24"/>
                <w:lang w:eastAsia="es-AR"/>
              </w:rPr>
              <w:t>Incluye a los asalariados con trabajo permanente e integrados a la Seguridad Social (con descuento</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jubilatorio), a los patrones o empleadores que trabajan en esa ocupación hace más de tres meses, y a los cuenta propia con más de tres meses de antigüedad en la ocupación que trabajaron</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más de 35h y no buscaron trabajar</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más horas.</w:t>
            </w:r>
          </w:p>
        </w:tc>
      </w:tr>
      <w:tr w:rsidR="001D7BD7" w:rsidRPr="00D91F3F" w:rsidTr="001D0395">
        <w:trPr>
          <w:trHeight w:val="586"/>
          <w:jc w:val="center"/>
        </w:trPr>
        <w:tc>
          <w:tcPr>
            <w:tcW w:w="738" w:type="dxa"/>
            <w:tcBorders>
              <w:top w:val="nil"/>
              <w:left w:val="single" w:sz="8" w:space="0" w:color="auto"/>
              <w:bottom w:val="single" w:sz="4" w:space="0" w:color="000000"/>
              <w:right w:val="single" w:sz="4" w:space="0" w:color="auto"/>
            </w:tcBorders>
            <w:shd w:val="clear" w:color="auto" w:fill="auto"/>
            <w:noWrap/>
            <w:vAlign w:val="bottom"/>
            <w:hideMark/>
          </w:tcPr>
          <w:p w:rsidR="001D7BD7" w:rsidRPr="00D91F3F" w:rsidRDefault="001D7BD7" w:rsidP="001D7BD7">
            <w:pPr>
              <w:spacing w:after="0" w:line="240" w:lineRule="auto"/>
              <w:jc w:val="center"/>
              <w:rPr>
                <w:rFonts w:ascii="Times New Roman" w:eastAsia="Times New Roman" w:hAnsi="Times New Roman" w:cs="Times New Roman"/>
                <w:color w:val="000000"/>
                <w:sz w:val="24"/>
                <w:szCs w:val="24"/>
                <w:lang w:eastAsia="es-AR"/>
              </w:rPr>
            </w:pPr>
            <w:r w:rsidRPr="00D91F3F">
              <w:rPr>
                <w:rFonts w:ascii="Times New Roman" w:eastAsia="Times New Roman" w:hAnsi="Times New Roman" w:cs="Times New Roman"/>
                <w:color w:val="000000"/>
                <w:sz w:val="24"/>
                <w:szCs w:val="24"/>
                <w:lang w:eastAsia="es-AR"/>
              </w:rPr>
              <w:t> </w:t>
            </w:r>
          </w:p>
        </w:tc>
        <w:tc>
          <w:tcPr>
            <w:tcW w:w="823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1D7BD7" w:rsidRPr="00D91F3F" w:rsidRDefault="001D7BD7" w:rsidP="001D7BD7">
            <w:pPr>
              <w:spacing w:after="0" w:line="240" w:lineRule="auto"/>
              <w:jc w:val="center"/>
              <w:rPr>
                <w:rFonts w:ascii="Times New Roman" w:eastAsia="Times New Roman" w:hAnsi="Times New Roman" w:cs="Times New Roman"/>
                <w:b/>
                <w:bCs/>
                <w:color w:val="000000"/>
                <w:sz w:val="24"/>
                <w:szCs w:val="24"/>
                <w:lang w:eastAsia="es-AR"/>
              </w:rPr>
            </w:pPr>
            <w:r w:rsidRPr="00D91F3F">
              <w:rPr>
                <w:rFonts w:ascii="Times New Roman" w:eastAsia="Times New Roman" w:hAnsi="Times New Roman" w:cs="Times New Roman"/>
                <w:b/>
                <w:bCs/>
                <w:color w:val="000000"/>
                <w:sz w:val="24"/>
                <w:szCs w:val="24"/>
                <w:lang w:eastAsia="es-AR"/>
              </w:rPr>
              <w:t xml:space="preserve">SEGMENTO SECUNDARIO DEL MERCADO DE TRABAJO: </w:t>
            </w:r>
          </w:p>
          <w:p w:rsidR="001D7BD7" w:rsidRPr="00D91F3F" w:rsidRDefault="001D7BD7" w:rsidP="001D7BD7">
            <w:pPr>
              <w:spacing w:after="0" w:line="240" w:lineRule="auto"/>
              <w:jc w:val="center"/>
              <w:rPr>
                <w:rFonts w:ascii="Times New Roman" w:eastAsia="Times New Roman" w:hAnsi="Times New Roman" w:cs="Times New Roman"/>
                <w:b/>
                <w:bCs/>
                <w:color w:val="000000"/>
                <w:sz w:val="24"/>
                <w:szCs w:val="24"/>
                <w:lang w:eastAsia="es-AR"/>
              </w:rPr>
            </w:pPr>
            <w:r w:rsidRPr="00D91F3F">
              <w:rPr>
                <w:rFonts w:ascii="Times New Roman" w:eastAsia="Times New Roman" w:hAnsi="Times New Roman" w:cs="Times New Roman"/>
                <w:b/>
                <w:bCs/>
                <w:color w:val="000000"/>
                <w:sz w:val="24"/>
                <w:szCs w:val="24"/>
                <w:lang w:eastAsia="es-AR"/>
              </w:rPr>
              <w:t>Empleos extralegales (incluye empleos de indigencia)</w:t>
            </w:r>
          </w:p>
        </w:tc>
      </w:tr>
      <w:tr w:rsidR="001D7BD7" w:rsidRPr="00D91F3F" w:rsidTr="001D0395">
        <w:trPr>
          <w:cantSplit/>
          <w:trHeight w:val="4826"/>
          <w:jc w:val="center"/>
        </w:trPr>
        <w:tc>
          <w:tcPr>
            <w:tcW w:w="738" w:type="dxa"/>
            <w:tcBorders>
              <w:top w:val="nil"/>
              <w:left w:val="single" w:sz="8" w:space="0" w:color="auto"/>
              <w:bottom w:val="single" w:sz="8" w:space="0" w:color="auto"/>
              <w:right w:val="single" w:sz="4" w:space="0" w:color="auto"/>
            </w:tcBorders>
            <w:shd w:val="clear" w:color="auto" w:fill="auto"/>
            <w:noWrap/>
            <w:textDirection w:val="btLr"/>
            <w:vAlign w:val="center"/>
            <w:hideMark/>
          </w:tcPr>
          <w:p w:rsidR="001D7BD7" w:rsidRPr="00D91F3F" w:rsidRDefault="001D7BD7" w:rsidP="001D7BD7">
            <w:pPr>
              <w:spacing w:after="0" w:line="240" w:lineRule="auto"/>
              <w:ind w:left="113" w:right="113"/>
              <w:jc w:val="center"/>
              <w:rPr>
                <w:rFonts w:ascii="Times New Roman" w:eastAsia="Times New Roman" w:hAnsi="Times New Roman" w:cs="Times New Roman"/>
                <w:b/>
                <w:bCs/>
                <w:color w:val="000000"/>
                <w:sz w:val="24"/>
                <w:szCs w:val="24"/>
                <w:lang w:eastAsia="es-AR"/>
              </w:rPr>
            </w:pPr>
            <w:r w:rsidRPr="00D91F3F">
              <w:rPr>
                <w:rFonts w:ascii="Times New Roman" w:eastAsia="Times New Roman" w:hAnsi="Times New Roman" w:cs="Times New Roman"/>
                <w:b/>
                <w:bCs/>
                <w:color w:val="000000"/>
                <w:sz w:val="24"/>
                <w:szCs w:val="24"/>
                <w:lang w:eastAsia="es-AR"/>
              </w:rPr>
              <w:lastRenderedPageBreak/>
              <w:t>EMPLEO INESTABLE / NO REGULADO</w:t>
            </w:r>
          </w:p>
        </w:tc>
        <w:tc>
          <w:tcPr>
            <w:tcW w:w="3961" w:type="dxa"/>
            <w:tcBorders>
              <w:top w:val="single" w:sz="4" w:space="0" w:color="auto"/>
              <w:left w:val="nil"/>
              <w:bottom w:val="single" w:sz="8" w:space="0" w:color="auto"/>
              <w:right w:val="single" w:sz="4" w:space="0" w:color="auto"/>
            </w:tcBorders>
            <w:shd w:val="clear" w:color="auto" w:fill="auto"/>
            <w:hideMark/>
          </w:tcPr>
          <w:p w:rsidR="001D0395" w:rsidRPr="00D91F3F" w:rsidRDefault="001D7BD7" w:rsidP="001D0395">
            <w:pPr>
              <w:spacing w:after="0" w:line="240" w:lineRule="auto"/>
              <w:jc w:val="both"/>
              <w:rPr>
                <w:rFonts w:ascii="Times New Roman" w:eastAsia="Times New Roman" w:hAnsi="Times New Roman" w:cs="Times New Roman"/>
                <w:b/>
                <w:color w:val="000000"/>
                <w:sz w:val="24"/>
                <w:szCs w:val="24"/>
                <w:lang w:eastAsia="es-AR"/>
              </w:rPr>
            </w:pPr>
            <w:r w:rsidRPr="00D91F3F">
              <w:rPr>
                <w:rFonts w:ascii="Times New Roman" w:eastAsia="Times New Roman" w:hAnsi="Times New Roman" w:cs="Times New Roman"/>
                <w:b/>
                <w:color w:val="000000"/>
                <w:sz w:val="24"/>
                <w:szCs w:val="24"/>
                <w:lang w:eastAsia="es-AR"/>
              </w:rPr>
              <w:t>EPH puntual</w:t>
            </w:r>
          </w:p>
          <w:p w:rsidR="001D7BD7" w:rsidRPr="00D91F3F" w:rsidRDefault="001D7BD7" w:rsidP="001D0395">
            <w:pPr>
              <w:spacing w:after="0" w:line="240" w:lineRule="auto"/>
              <w:jc w:val="both"/>
              <w:rPr>
                <w:rFonts w:ascii="Times New Roman" w:eastAsia="Times New Roman" w:hAnsi="Times New Roman" w:cs="Times New Roman"/>
                <w:color w:val="000000"/>
                <w:sz w:val="24"/>
                <w:szCs w:val="24"/>
                <w:lang w:eastAsia="es-AR"/>
              </w:rPr>
            </w:pPr>
            <w:r w:rsidRPr="00D91F3F">
              <w:rPr>
                <w:rFonts w:ascii="Times New Roman" w:eastAsia="Times New Roman" w:hAnsi="Times New Roman" w:cs="Times New Roman"/>
                <w:color w:val="000000"/>
                <w:sz w:val="24"/>
                <w:szCs w:val="24"/>
                <w:lang w:eastAsia="es-AR"/>
              </w:rPr>
              <w:t>Incluye a los asalariados sin jubilación</w:t>
            </w:r>
            <w:r w:rsidRPr="00D91F3F">
              <w:rPr>
                <w:rFonts w:ascii="Times New Roman" w:eastAsia="Times New Roman" w:hAnsi="Times New Roman" w:cs="Times New Roman"/>
                <w:color w:val="000000"/>
                <w:sz w:val="24"/>
                <w:szCs w:val="24"/>
                <w:lang w:eastAsia="es-AR"/>
              </w:rPr>
              <w:br/>
              <w:t>o sin trabajo permanente, a</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los trabajadores independientes</w:t>
            </w:r>
            <w:r w:rsidR="001D0395" w:rsidRPr="00D91F3F">
              <w:rPr>
                <w:rFonts w:ascii="Times New Roman" w:eastAsia="Times New Roman" w:hAnsi="Times New Roman" w:cs="Times New Roman"/>
                <w:color w:val="000000"/>
                <w:sz w:val="24"/>
                <w:szCs w:val="24"/>
                <w:lang w:eastAsia="es-AR"/>
              </w:rPr>
              <w:t xml:space="preserve"> (patrones o cuenta propia) que </w:t>
            </w:r>
            <w:r w:rsidRPr="00D91F3F">
              <w:rPr>
                <w:rFonts w:ascii="Times New Roman" w:eastAsia="Times New Roman" w:hAnsi="Times New Roman" w:cs="Times New Roman"/>
                <w:color w:val="000000"/>
                <w:sz w:val="24"/>
                <w:szCs w:val="24"/>
                <w:lang w:eastAsia="es-AR"/>
              </w:rPr>
              <w:t>no tienen un empleo permanente</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(es decir, son changas, empleos</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ine</w:t>
            </w:r>
            <w:r w:rsidR="001D0395" w:rsidRPr="00D91F3F">
              <w:rPr>
                <w:rFonts w:ascii="Times New Roman" w:eastAsia="Times New Roman" w:hAnsi="Times New Roman" w:cs="Times New Roman"/>
                <w:color w:val="000000"/>
                <w:sz w:val="24"/>
                <w:szCs w:val="24"/>
                <w:lang w:eastAsia="es-AR"/>
              </w:rPr>
              <w:t xml:space="preserve">stables o trabajos temporarios) o a aquellos </w:t>
            </w:r>
            <w:r w:rsidRPr="00D91F3F">
              <w:rPr>
                <w:rFonts w:ascii="Times New Roman" w:eastAsia="Times New Roman" w:hAnsi="Times New Roman" w:cs="Times New Roman"/>
                <w:color w:val="000000"/>
                <w:sz w:val="24"/>
                <w:szCs w:val="24"/>
                <w:lang w:eastAsia="es-AR"/>
              </w:rPr>
              <w:t>trabajadores independientes</w:t>
            </w:r>
            <w:r w:rsidR="001D0395" w:rsidRPr="00D91F3F">
              <w:rPr>
                <w:rFonts w:ascii="Times New Roman" w:eastAsia="Times New Roman" w:hAnsi="Times New Roman" w:cs="Times New Roman"/>
                <w:color w:val="000000"/>
                <w:sz w:val="24"/>
                <w:szCs w:val="24"/>
                <w:lang w:eastAsia="es-AR"/>
              </w:rPr>
              <w:t xml:space="preserve"> con empleo </w:t>
            </w:r>
            <w:r w:rsidRPr="00D91F3F">
              <w:rPr>
                <w:rFonts w:ascii="Times New Roman" w:eastAsia="Times New Roman" w:hAnsi="Times New Roman" w:cs="Times New Roman"/>
                <w:color w:val="000000"/>
                <w:sz w:val="24"/>
                <w:szCs w:val="24"/>
                <w:lang w:eastAsia="es-AR"/>
              </w:rPr>
              <w:t>permanente</w:t>
            </w:r>
            <w:r w:rsidR="001D0395" w:rsidRPr="00D91F3F">
              <w:rPr>
                <w:rFonts w:ascii="Times New Roman" w:eastAsia="Times New Roman" w:hAnsi="Times New Roman" w:cs="Times New Roman"/>
                <w:color w:val="000000"/>
                <w:sz w:val="24"/>
                <w:szCs w:val="24"/>
                <w:lang w:eastAsia="es-AR"/>
              </w:rPr>
              <w:t xml:space="preserve"> pero que trabajan menos </w:t>
            </w:r>
            <w:r w:rsidRPr="00D91F3F">
              <w:rPr>
                <w:rFonts w:ascii="Times New Roman" w:eastAsia="Times New Roman" w:hAnsi="Times New Roman" w:cs="Times New Roman"/>
                <w:color w:val="000000"/>
                <w:sz w:val="24"/>
                <w:szCs w:val="24"/>
                <w:lang w:eastAsia="es-AR"/>
              </w:rPr>
              <w:t>de 35h y</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quieren trabajar más. Se incluyen</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también a los trabajadores familiares</w:t>
            </w:r>
            <w:r w:rsidR="001D0395" w:rsidRPr="00D91F3F">
              <w:rPr>
                <w:rFonts w:ascii="Times New Roman" w:eastAsia="Times New Roman" w:hAnsi="Times New Roman" w:cs="Times New Roman"/>
                <w:color w:val="000000"/>
                <w:sz w:val="24"/>
                <w:szCs w:val="24"/>
                <w:lang w:eastAsia="es-AR"/>
              </w:rPr>
              <w:t xml:space="preserve"> sin salario. </w:t>
            </w:r>
            <w:r w:rsidRPr="00D91F3F">
              <w:rPr>
                <w:rFonts w:ascii="Times New Roman" w:eastAsia="Times New Roman" w:hAnsi="Times New Roman" w:cs="Times New Roman"/>
                <w:color w:val="000000"/>
                <w:sz w:val="24"/>
                <w:szCs w:val="24"/>
                <w:lang w:eastAsia="es-AR"/>
              </w:rPr>
              <w:t>Adicionalmente, incluye a todos</w:t>
            </w:r>
            <w:r w:rsidR="001D0395" w:rsidRPr="00D91F3F">
              <w:rPr>
                <w:rFonts w:ascii="Times New Roman" w:eastAsia="Times New Roman" w:hAnsi="Times New Roman" w:cs="Times New Roman"/>
                <w:color w:val="000000"/>
                <w:sz w:val="24"/>
                <w:szCs w:val="24"/>
                <w:lang w:eastAsia="es-AR"/>
              </w:rPr>
              <w:t xml:space="preserve"> aquellos empleos (de cualquier </w:t>
            </w:r>
            <w:r w:rsidRPr="00D91F3F">
              <w:rPr>
                <w:rFonts w:ascii="Times New Roman" w:eastAsia="Times New Roman" w:hAnsi="Times New Roman" w:cs="Times New Roman"/>
                <w:color w:val="000000"/>
                <w:sz w:val="24"/>
                <w:szCs w:val="24"/>
                <w:lang w:eastAsia="es-AR"/>
              </w:rPr>
              <w:t>cat</w:t>
            </w:r>
            <w:r w:rsidR="001D0395" w:rsidRPr="00D91F3F">
              <w:rPr>
                <w:rFonts w:ascii="Times New Roman" w:eastAsia="Times New Roman" w:hAnsi="Times New Roman" w:cs="Times New Roman"/>
                <w:color w:val="000000"/>
                <w:sz w:val="24"/>
                <w:szCs w:val="24"/>
                <w:lang w:eastAsia="es-AR"/>
              </w:rPr>
              <w:t xml:space="preserve">egoría ocupacional, exceptuando a los trabajadores </w:t>
            </w:r>
            <w:r w:rsidRPr="00D91F3F">
              <w:rPr>
                <w:rFonts w:ascii="Times New Roman" w:eastAsia="Times New Roman" w:hAnsi="Times New Roman" w:cs="Times New Roman"/>
                <w:color w:val="000000"/>
                <w:sz w:val="24"/>
                <w:szCs w:val="24"/>
                <w:lang w:eastAsia="es-AR"/>
              </w:rPr>
              <w:t>familiares</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sin salario) cuyo ingreso</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horario percibido no alcanza el</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nivel del ingreso horario necesario</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para cubrir los gastos alimentarios</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de una familia tipo*.</w:t>
            </w:r>
          </w:p>
        </w:tc>
        <w:tc>
          <w:tcPr>
            <w:tcW w:w="4268" w:type="dxa"/>
            <w:tcBorders>
              <w:top w:val="single" w:sz="4" w:space="0" w:color="auto"/>
              <w:left w:val="nil"/>
              <w:bottom w:val="single" w:sz="8" w:space="0" w:color="auto"/>
              <w:right w:val="single" w:sz="8" w:space="0" w:color="auto"/>
            </w:tcBorders>
            <w:shd w:val="clear" w:color="auto" w:fill="auto"/>
            <w:hideMark/>
          </w:tcPr>
          <w:p w:rsidR="001D0395" w:rsidRPr="00D91F3F" w:rsidRDefault="001D7BD7" w:rsidP="001D0395">
            <w:pPr>
              <w:spacing w:after="0" w:line="240" w:lineRule="auto"/>
              <w:jc w:val="both"/>
              <w:rPr>
                <w:rFonts w:ascii="Times New Roman" w:eastAsia="Times New Roman" w:hAnsi="Times New Roman" w:cs="Times New Roman"/>
                <w:b/>
                <w:color w:val="000000"/>
                <w:sz w:val="24"/>
                <w:szCs w:val="24"/>
                <w:lang w:eastAsia="es-AR"/>
              </w:rPr>
            </w:pPr>
            <w:r w:rsidRPr="00D91F3F">
              <w:rPr>
                <w:rFonts w:ascii="Times New Roman" w:eastAsia="Times New Roman" w:hAnsi="Times New Roman" w:cs="Times New Roman"/>
                <w:b/>
                <w:color w:val="000000"/>
                <w:sz w:val="24"/>
                <w:szCs w:val="24"/>
                <w:lang w:eastAsia="es-AR"/>
              </w:rPr>
              <w:t>EPH continua</w:t>
            </w:r>
          </w:p>
          <w:p w:rsidR="001D7BD7" w:rsidRPr="00D91F3F" w:rsidRDefault="001D7BD7" w:rsidP="001D0395">
            <w:pPr>
              <w:spacing w:after="0" w:line="240" w:lineRule="auto"/>
              <w:jc w:val="both"/>
              <w:rPr>
                <w:rFonts w:ascii="Times New Roman" w:eastAsia="Times New Roman" w:hAnsi="Times New Roman" w:cs="Times New Roman"/>
                <w:color w:val="000000"/>
                <w:sz w:val="24"/>
                <w:szCs w:val="24"/>
                <w:lang w:eastAsia="es-AR"/>
              </w:rPr>
            </w:pPr>
            <w:r w:rsidRPr="00D91F3F">
              <w:rPr>
                <w:rFonts w:ascii="Times New Roman" w:eastAsia="Times New Roman" w:hAnsi="Times New Roman" w:cs="Times New Roman"/>
                <w:color w:val="000000"/>
                <w:sz w:val="24"/>
                <w:szCs w:val="24"/>
                <w:lang w:eastAsia="es-AR"/>
              </w:rPr>
              <w:t>Incluye a los asalariados sin jubilación</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o sin trabajo permanente, a</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los trabajadores independientes</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(patrones o cuenta propia) que</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están hace menos de tres meses</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en ese empleo o a los cuenta</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propia que estando hace más de</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tres meses trabajaron menos de</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35 h o trabajaron más de 35h y</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buscaron trabajar más horas. Se</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incluyen también a los trabajadores</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familiares sin salario.</w:t>
            </w:r>
            <w:r w:rsidRPr="00D91F3F">
              <w:rPr>
                <w:rFonts w:ascii="Times New Roman" w:eastAsia="Times New Roman" w:hAnsi="Times New Roman" w:cs="Times New Roman"/>
                <w:color w:val="000000"/>
                <w:sz w:val="24"/>
                <w:szCs w:val="24"/>
                <w:lang w:eastAsia="es-AR"/>
              </w:rPr>
              <w:br/>
              <w:t>Adicionalmente, incluye a todos</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aquellos empleos (de cualquier</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categoría ocupacional, exceptuando</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a los trabajadores familiares</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sin salario) cuyo ingreso</w:t>
            </w:r>
            <w:r w:rsidR="001D0395" w:rsidRPr="00D91F3F">
              <w:rPr>
                <w:rFonts w:ascii="Times New Roman" w:eastAsia="Times New Roman" w:hAnsi="Times New Roman" w:cs="Times New Roman"/>
                <w:color w:val="000000"/>
                <w:sz w:val="24"/>
                <w:szCs w:val="24"/>
                <w:lang w:eastAsia="es-AR"/>
              </w:rPr>
              <w:t xml:space="preserve"> horario percibido no alcanza el </w:t>
            </w:r>
            <w:r w:rsidRPr="00D91F3F">
              <w:rPr>
                <w:rFonts w:ascii="Times New Roman" w:eastAsia="Times New Roman" w:hAnsi="Times New Roman" w:cs="Times New Roman"/>
                <w:color w:val="000000"/>
                <w:sz w:val="24"/>
                <w:szCs w:val="24"/>
                <w:lang w:eastAsia="es-AR"/>
              </w:rPr>
              <w:t>nivel del ingreso horario necesario</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para cubrir los gastos alimentarios</w:t>
            </w:r>
            <w:r w:rsidR="001D0395" w:rsidRPr="00D91F3F">
              <w:rPr>
                <w:rFonts w:ascii="Times New Roman" w:eastAsia="Times New Roman" w:hAnsi="Times New Roman" w:cs="Times New Roman"/>
                <w:color w:val="000000"/>
                <w:sz w:val="24"/>
                <w:szCs w:val="24"/>
                <w:lang w:eastAsia="es-AR"/>
              </w:rPr>
              <w:t xml:space="preserve"> </w:t>
            </w:r>
            <w:r w:rsidRPr="00D91F3F">
              <w:rPr>
                <w:rFonts w:ascii="Times New Roman" w:eastAsia="Times New Roman" w:hAnsi="Times New Roman" w:cs="Times New Roman"/>
                <w:color w:val="000000"/>
                <w:sz w:val="24"/>
                <w:szCs w:val="24"/>
                <w:lang w:eastAsia="es-AR"/>
              </w:rPr>
              <w:t>de una familia tipo*.</w:t>
            </w:r>
          </w:p>
        </w:tc>
      </w:tr>
    </w:tbl>
    <w:p w:rsidR="001D0395" w:rsidRPr="00D91F3F" w:rsidRDefault="001D0395" w:rsidP="002545DC">
      <w:pPr>
        <w:autoSpaceDE w:val="0"/>
        <w:autoSpaceDN w:val="0"/>
        <w:adjustRightInd w:val="0"/>
        <w:spacing w:after="0" w:line="240" w:lineRule="auto"/>
        <w:jc w:val="both"/>
        <w:rPr>
          <w:rFonts w:ascii="Times New Roman" w:hAnsi="Times New Roman" w:cs="Times New Roman"/>
          <w:sz w:val="20"/>
          <w:szCs w:val="20"/>
        </w:rPr>
      </w:pPr>
      <w:r w:rsidRPr="00D91F3F">
        <w:rPr>
          <w:rFonts w:ascii="Times New Roman" w:hAnsi="Times New Roman" w:cs="Times New Roman"/>
          <w:sz w:val="20"/>
          <w:szCs w:val="20"/>
        </w:rPr>
        <w:t>*La canasta básica se definió como los ingresos necesarios para cubrir las necesidades alimenticias y otras de subsistencia de una familia tipo en cada uno de los años considerados en el estudio. Al respecto, cabe aclarar que hasta el año 2007</w:t>
      </w:r>
      <w:r w:rsidR="002545DC" w:rsidRPr="00D91F3F">
        <w:rPr>
          <w:rFonts w:ascii="Times New Roman" w:hAnsi="Times New Roman" w:cs="Times New Roman"/>
          <w:sz w:val="20"/>
          <w:szCs w:val="20"/>
        </w:rPr>
        <w:t xml:space="preserve"> </w:t>
      </w:r>
      <w:r w:rsidRPr="00D91F3F">
        <w:rPr>
          <w:rFonts w:ascii="Times New Roman" w:hAnsi="Times New Roman" w:cs="Times New Roman"/>
          <w:sz w:val="20"/>
          <w:szCs w:val="20"/>
        </w:rPr>
        <w:t>se emplearon los datos de la Canasta Básica Alimentaria según la estimación oficial del INDEC. Sin embargo, dada la conocida intervención al INDEC y manipulación de la información posterior a 2007, se utilizó una estimación alternativa</w:t>
      </w:r>
      <w:r w:rsidR="002545DC" w:rsidRPr="00D91F3F">
        <w:rPr>
          <w:rFonts w:ascii="Times New Roman" w:hAnsi="Times New Roman" w:cs="Times New Roman"/>
          <w:sz w:val="20"/>
          <w:szCs w:val="20"/>
        </w:rPr>
        <w:t xml:space="preserve"> </w:t>
      </w:r>
      <w:r w:rsidRPr="00D91F3F">
        <w:rPr>
          <w:rFonts w:ascii="Times New Roman" w:hAnsi="Times New Roman" w:cs="Times New Roman"/>
          <w:sz w:val="20"/>
          <w:szCs w:val="20"/>
        </w:rPr>
        <w:t>de Canasta Básica Alimentaria obtenida a través de información de consultoras privadas. Para la estimación del límite de ingreso horario de indigencia se divide el ingreso mensual de la Canasta Básica Alimentaria para una familia tipo por</w:t>
      </w:r>
      <w:r w:rsidR="002545DC" w:rsidRPr="00D91F3F">
        <w:rPr>
          <w:rFonts w:ascii="Times New Roman" w:hAnsi="Times New Roman" w:cs="Times New Roman"/>
          <w:sz w:val="20"/>
          <w:szCs w:val="20"/>
        </w:rPr>
        <w:t xml:space="preserve"> </w:t>
      </w:r>
      <w:r w:rsidRPr="00D91F3F">
        <w:rPr>
          <w:rFonts w:ascii="Times New Roman" w:hAnsi="Times New Roman" w:cs="Times New Roman"/>
          <w:sz w:val="20"/>
          <w:szCs w:val="20"/>
        </w:rPr>
        <w:t xml:space="preserve">160 horas mensuales trabajadas. </w:t>
      </w:r>
    </w:p>
    <w:p w:rsidR="001D0395" w:rsidRPr="00D91F3F" w:rsidRDefault="001D0395" w:rsidP="002545DC">
      <w:pPr>
        <w:autoSpaceDE w:val="0"/>
        <w:autoSpaceDN w:val="0"/>
        <w:adjustRightInd w:val="0"/>
        <w:spacing w:after="0" w:line="240" w:lineRule="auto"/>
        <w:jc w:val="both"/>
        <w:rPr>
          <w:rFonts w:ascii="Times New Roman" w:hAnsi="Times New Roman" w:cs="Times New Roman"/>
          <w:sz w:val="20"/>
          <w:szCs w:val="20"/>
        </w:rPr>
      </w:pPr>
      <w:r w:rsidRPr="00D91F3F">
        <w:rPr>
          <w:rFonts w:ascii="Times New Roman" w:hAnsi="Times New Roman" w:cs="Times New Roman"/>
          <w:sz w:val="20"/>
          <w:szCs w:val="20"/>
        </w:rPr>
        <w:t>Nota: En las bases de datos de los años 1992 y 1994 no se disponían de las variables empleadas para la evaluación de la calidad o estabilidad del empleo. En estos casos, la evaluación de la estabilidad laboral se aproxima, para los trabajadores</w:t>
      </w:r>
      <w:r w:rsidR="002545DC" w:rsidRPr="00D91F3F">
        <w:rPr>
          <w:rFonts w:ascii="Times New Roman" w:hAnsi="Times New Roman" w:cs="Times New Roman"/>
          <w:sz w:val="20"/>
          <w:szCs w:val="20"/>
        </w:rPr>
        <w:t xml:space="preserve"> </w:t>
      </w:r>
      <w:r w:rsidRPr="00D91F3F">
        <w:rPr>
          <w:rFonts w:ascii="Times New Roman" w:hAnsi="Times New Roman" w:cs="Times New Roman"/>
          <w:sz w:val="20"/>
          <w:szCs w:val="20"/>
        </w:rPr>
        <w:t xml:space="preserve">no asalariados, a través de indicadores de subocupación, el deseo de trabajar más horas semanales y la búsqueda de otro empleo. A través de ejercicios de comparación en las bases de los años 1998 y 2001 </w:t>
      </w:r>
      <w:r w:rsidR="002545DC" w:rsidRPr="00D91F3F">
        <w:rPr>
          <w:rFonts w:ascii="Times New Roman" w:hAnsi="Times New Roman" w:cs="Times New Roman"/>
          <w:sz w:val="20"/>
          <w:szCs w:val="20"/>
        </w:rPr>
        <w:t xml:space="preserve">con ambos métodos de evaluación </w:t>
      </w:r>
      <w:r w:rsidRPr="00D91F3F">
        <w:rPr>
          <w:rFonts w:ascii="Times New Roman" w:hAnsi="Times New Roman" w:cs="Times New Roman"/>
          <w:sz w:val="20"/>
          <w:szCs w:val="20"/>
        </w:rPr>
        <w:t>de la calidad del empleo, se obtuvo un coeficiente para el ajuste de los datos</w:t>
      </w:r>
      <w:r w:rsidR="002545DC" w:rsidRPr="00D91F3F">
        <w:rPr>
          <w:rFonts w:ascii="Times New Roman" w:hAnsi="Times New Roman" w:cs="Times New Roman"/>
          <w:sz w:val="20"/>
          <w:szCs w:val="20"/>
        </w:rPr>
        <w:t xml:space="preserve"> correspondientes a 1992 y 1994.</w:t>
      </w:r>
    </w:p>
    <w:p w:rsidR="008F7188" w:rsidRPr="00D91F3F" w:rsidRDefault="001D0395" w:rsidP="002545DC">
      <w:pPr>
        <w:autoSpaceDE w:val="0"/>
        <w:autoSpaceDN w:val="0"/>
        <w:adjustRightInd w:val="0"/>
        <w:spacing w:after="0" w:line="240" w:lineRule="auto"/>
        <w:jc w:val="both"/>
        <w:rPr>
          <w:rFonts w:ascii="Times New Roman" w:hAnsi="Times New Roman" w:cs="Times New Roman"/>
          <w:sz w:val="20"/>
          <w:szCs w:val="20"/>
        </w:rPr>
      </w:pPr>
      <w:r w:rsidRPr="00D91F3F">
        <w:rPr>
          <w:rFonts w:ascii="Times New Roman" w:hAnsi="Times New Roman" w:cs="Times New Roman"/>
          <w:b/>
          <w:sz w:val="20"/>
          <w:szCs w:val="20"/>
        </w:rPr>
        <w:t>Fuente:</w:t>
      </w:r>
      <w:r w:rsidRPr="00D91F3F">
        <w:rPr>
          <w:rFonts w:ascii="Times New Roman" w:hAnsi="Times New Roman" w:cs="Times New Roman"/>
          <w:sz w:val="20"/>
          <w:szCs w:val="20"/>
        </w:rPr>
        <w:t xml:space="preserve"> Programa Cambio Estructural y Desigualdad Social, Instituto de Investigaciones Gino </w:t>
      </w:r>
      <w:proofErr w:type="spellStart"/>
      <w:r w:rsidRPr="00D91F3F">
        <w:rPr>
          <w:rFonts w:ascii="Times New Roman" w:hAnsi="Times New Roman" w:cs="Times New Roman"/>
          <w:sz w:val="20"/>
          <w:szCs w:val="20"/>
        </w:rPr>
        <w:t>Germani</w:t>
      </w:r>
      <w:proofErr w:type="spellEnd"/>
      <w:r w:rsidRPr="00D91F3F">
        <w:rPr>
          <w:rFonts w:ascii="Times New Roman" w:hAnsi="Times New Roman" w:cs="Times New Roman"/>
          <w:sz w:val="20"/>
          <w:szCs w:val="20"/>
        </w:rPr>
        <w:t xml:space="preserve"> (IIGG)-FSC-UBA, con base en datos de la EPH-INDEC.</w:t>
      </w:r>
    </w:p>
    <w:p w:rsidR="003E3D00" w:rsidRDefault="003E3D00"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Pr="00780CF6" w:rsidRDefault="005B2F0D" w:rsidP="002545DC">
      <w:pPr>
        <w:autoSpaceDE w:val="0"/>
        <w:autoSpaceDN w:val="0"/>
        <w:adjustRightInd w:val="0"/>
        <w:spacing w:after="0" w:line="240" w:lineRule="auto"/>
        <w:jc w:val="both"/>
        <w:rPr>
          <w:rFonts w:ascii="Times New Roman" w:hAnsi="Times New Roman" w:cs="Times New Roman"/>
          <w:b/>
          <w:sz w:val="24"/>
          <w:szCs w:val="20"/>
        </w:rPr>
      </w:pPr>
      <w:r w:rsidRPr="00780CF6">
        <w:rPr>
          <w:rFonts w:ascii="Times New Roman" w:hAnsi="Times New Roman" w:cs="Times New Roman"/>
          <w:b/>
          <w:sz w:val="24"/>
          <w:szCs w:val="20"/>
        </w:rPr>
        <w:lastRenderedPageBreak/>
        <w:t xml:space="preserve">Anexo de figuras en formato </w:t>
      </w:r>
      <w:proofErr w:type="spellStart"/>
      <w:r w:rsidRPr="00780CF6">
        <w:rPr>
          <w:rFonts w:ascii="Times New Roman" w:hAnsi="Times New Roman" w:cs="Times New Roman"/>
          <w:b/>
          <w:sz w:val="24"/>
          <w:szCs w:val="20"/>
        </w:rPr>
        <w:t>jpg</w:t>
      </w:r>
      <w:proofErr w:type="spellEnd"/>
      <w:r w:rsidRPr="00780CF6">
        <w:rPr>
          <w:rFonts w:ascii="Times New Roman" w:hAnsi="Times New Roman" w:cs="Times New Roman"/>
          <w:b/>
          <w:sz w:val="24"/>
          <w:szCs w:val="20"/>
        </w:rPr>
        <w:t xml:space="preserve">. </w:t>
      </w: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r>
        <w:rPr>
          <w:rFonts w:ascii="Times New Roman" w:hAnsi="Times New Roman" w:cs="Times New Roman"/>
          <w:noProof/>
          <w:sz w:val="18"/>
          <w:szCs w:val="20"/>
          <w:lang w:val="es-ES" w:eastAsia="es-ES"/>
        </w:rPr>
        <w:drawing>
          <wp:inline distT="0" distB="0" distL="0" distR="0">
            <wp:extent cx="5971540" cy="3477895"/>
            <wp:effectExtent l="0" t="0" r="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o 1.jpg"/>
                    <pic:cNvPicPr/>
                  </pic:nvPicPr>
                  <pic:blipFill>
                    <a:blip r:embed="rId16">
                      <a:extLst>
                        <a:ext uri="{28A0092B-C50C-407E-A947-70E740481C1C}">
                          <a14:useLocalDpi xmlns:a14="http://schemas.microsoft.com/office/drawing/2010/main" val="0"/>
                        </a:ext>
                      </a:extLst>
                    </a:blip>
                    <a:stretch>
                      <a:fillRect/>
                    </a:stretch>
                  </pic:blipFill>
                  <pic:spPr>
                    <a:xfrm>
                      <a:off x="0" y="0"/>
                      <a:ext cx="5971540" cy="3477895"/>
                    </a:xfrm>
                    <a:prstGeom prst="rect">
                      <a:avLst/>
                    </a:prstGeom>
                  </pic:spPr>
                </pic:pic>
              </a:graphicData>
            </a:graphic>
          </wp:inline>
        </w:drawing>
      </w: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r>
        <w:rPr>
          <w:rFonts w:ascii="Times New Roman" w:hAnsi="Times New Roman" w:cs="Times New Roman"/>
          <w:noProof/>
          <w:sz w:val="18"/>
          <w:szCs w:val="20"/>
          <w:lang w:val="es-ES" w:eastAsia="es-ES"/>
        </w:rPr>
        <w:drawing>
          <wp:inline distT="0" distB="0" distL="0" distR="0">
            <wp:extent cx="5971540" cy="335724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o 2.jpg"/>
                    <pic:cNvPicPr/>
                  </pic:nvPicPr>
                  <pic:blipFill>
                    <a:blip r:embed="rId17">
                      <a:extLst>
                        <a:ext uri="{28A0092B-C50C-407E-A947-70E740481C1C}">
                          <a14:useLocalDpi xmlns:a14="http://schemas.microsoft.com/office/drawing/2010/main" val="0"/>
                        </a:ext>
                      </a:extLst>
                    </a:blip>
                    <a:stretch>
                      <a:fillRect/>
                    </a:stretch>
                  </pic:blipFill>
                  <pic:spPr>
                    <a:xfrm>
                      <a:off x="0" y="0"/>
                      <a:ext cx="5971540" cy="3357245"/>
                    </a:xfrm>
                    <a:prstGeom prst="rect">
                      <a:avLst/>
                    </a:prstGeom>
                  </pic:spPr>
                </pic:pic>
              </a:graphicData>
            </a:graphic>
          </wp:inline>
        </w:drawing>
      </w: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r>
        <w:rPr>
          <w:rFonts w:ascii="Times New Roman" w:hAnsi="Times New Roman" w:cs="Times New Roman"/>
          <w:noProof/>
          <w:sz w:val="18"/>
          <w:szCs w:val="20"/>
          <w:lang w:val="es-ES" w:eastAsia="es-ES"/>
        </w:rPr>
        <w:lastRenderedPageBreak/>
        <w:drawing>
          <wp:inline distT="0" distB="0" distL="0" distR="0">
            <wp:extent cx="5971540" cy="3938270"/>
            <wp:effectExtent l="0" t="0" r="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co 3.jpg"/>
                    <pic:cNvPicPr/>
                  </pic:nvPicPr>
                  <pic:blipFill>
                    <a:blip r:embed="rId18">
                      <a:extLst>
                        <a:ext uri="{28A0092B-C50C-407E-A947-70E740481C1C}">
                          <a14:useLocalDpi xmlns:a14="http://schemas.microsoft.com/office/drawing/2010/main" val="0"/>
                        </a:ext>
                      </a:extLst>
                    </a:blip>
                    <a:stretch>
                      <a:fillRect/>
                    </a:stretch>
                  </pic:blipFill>
                  <pic:spPr>
                    <a:xfrm>
                      <a:off x="0" y="0"/>
                      <a:ext cx="5971540" cy="3938270"/>
                    </a:xfrm>
                    <a:prstGeom prst="rect">
                      <a:avLst/>
                    </a:prstGeom>
                  </pic:spPr>
                </pic:pic>
              </a:graphicData>
            </a:graphic>
          </wp:inline>
        </w:drawing>
      </w: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p>
    <w:p w:rsidR="005B2F0D" w:rsidRDefault="005B2F0D" w:rsidP="002545DC">
      <w:pPr>
        <w:autoSpaceDE w:val="0"/>
        <w:autoSpaceDN w:val="0"/>
        <w:adjustRightInd w:val="0"/>
        <w:spacing w:after="0" w:line="240" w:lineRule="auto"/>
        <w:jc w:val="both"/>
        <w:rPr>
          <w:rFonts w:ascii="Times New Roman" w:hAnsi="Times New Roman" w:cs="Times New Roman"/>
          <w:sz w:val="18"/>
          <w:szCs w:val="20"/>
        </w:rPr>
      </w:pPr>
      <w:r>
        <w:rPr>
          <w:rFonts w:ascii="Times New Roman" w:hAnsi="Times New Roman" w:cs="Times New Roman"/>
          <w:noProof/>
          <w:sz w:val="18"/>
          <w:szCs w:val="20"/>
          <w:lang w:val="es-ES" w:eastAsia="es-ES"/>
        </w:rPr>
        <w:lastRenderedPageBreak/>
        <w:drawing>
          <wp:inline distT="0" distB="0" distL="0" distR="0">
            <wp:extent cx="5971540" cy="44227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co 4.jpg"/>
                    <pic:cNvPicPr/>
                  </pic:nvPicPr>
                  <pic:blipFill>
                    <a:blip r:embed="rId19">
                      <a:extLst>
                        <a:ext uri="{28A0092B-C50C-407E-A947-70E740481C1C}">
                          <a14:useLocalDpi xmlns:a14="http://schemas.microsoft.com/office/drawing/2010/main" val="0"/>
                        </a:ext>
                      </a:extLst>
                    </a:blip>
                    <a:stretch>
                      <a:fillRect/>
                    </a:stretch>
                  </pic:blipFill>
                  <pic:spPr>
                    <a:xfrm>
                      <a:off x="0" y="0"/>
                      <a:ext cx="5971540" cy="4422775"/>
                    </a:xfrm>
                    <a:prstGeom prst="rect">
                      <a:avLst/>
                    </a:prstGeom>
                  </pic:spPr>
                </pic:pic>
              </a:graphicData>
            </a:graphic>
          </wp:inline>
        </w:drawing>
      </w:r>
    </w:p>
    <w:sectPr w:rsidR="005B2F0D" w:rsidSect="004952C0">
      <w:headerReference w:type="default" r:id="rId20"/>
      <w:footerReference w:type="default" r:id="rId2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5F0" w:rsidRDefault="005435F0" w:rsidP="009310D5">
      <w:pPr>
        <w:spacing w:after="0" w:line="240" w:lineRule="auto"/>
      </w:pPr>
      <w:r>
        <w:separator/>
      </w:r>
    </w:p>
  </w:endnote>
  <w:endnote w:type="continuationSeparator" w:id="0">
    <w:p w:rsidR="005435F0" w:rsidRDefault="005435F0" w:rsidP="0093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20460"/>
      <w:docPartObj>
        <w:docPartGallery w:val="Page Numbers (Bottom of Page)"/>
        <w:docPartUnique/>
      </w:docPartObj>
    </w:sdtPr>
    <w:sdtEndPr/>
    <w:sdtContent>
      <w:p w:rsidR="00876B94" w:rsidRDefault="00876B94">
        <w:pPr>
          <w:pStyle w:val="Piedepgina"/>
          <w:jc w:val="right"/>
        </w:pPr>
        <w:r>
          <w:fldChar w:fldCharType="begin"/>
        </w:r>
        <w:r>
          <w:instrText>PAGE   \* MERGEFORMAT</w:instrText>
        </w:r>
        <w:r>
          <w:fldChar w:fldCharType="separate"/>
        </w:r>
        <w:r w:rsidR="002B05A0" w:rsidRPr="002B05A0">
          <w:rPr>
            <w:noProof/>
            <w:lang w:val="es-ES"/>
          </w:rPr>
          <w:t>1</w:t>
        </w:r>
        <w:r>
          <w:fldChar w:fldCharType="end"/>
        </w:r>
      </w:p>
    </w:sdtContent>
  </w:sdt>
  <w:p w:rsidR="00876B94" w:rsidRDefault="00876B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5F0" w:rsidRDefault="005435F0" w:rsidP="009310D5">
      <w:pPr>
        <w:spacing w:after="0" w:line="240" w:lineRule="auto"/>
      </w:pPr>
      <w:r>
        <w:separator/>
      </w:r>
    </w:p>
  </w:footnote>
  <w:footnote w:type="continuationSeparator" w:id="0">
    <w:p w:rsidR="005435F0" w:rsidRDefault="005435F0" w:rsidP="009310D5">
      <w:pPr>
        <w:spacing w:after="0" w:line="240" w:lineRule="auto"/>
      </w:pPr>
      <w:r>
        <w:continuationSeparator/>
      </w:r>
    </w:p>
  </w:footnote>
  <w:footnote w:id="1">
    <w:p w:rsidR="00876B94" w:rsidRPr="003E328F" w:rsidRDefault="00876B94" w:rsidP="00417916">
      <w:pPr>
        <w:pStyle w:val="Textonotapie"/>
        <w:jc w:val="both"/>
        <w:rPr>
          <w:rFonts w:ascii="Times New Roman" w:hAnsi="Times New Roman" w:cs="Times New Roman"/>
          <w:szCs w:val="18"/>
        </w:rPr>
      </w:pPr>
      <w:r w:rsidRPr="00265E36">
        <w:rPr>
          <w:rStyle w:val="Refdenotaalpie"/>
          <w:rFonts w:ascii="Times New Roman" w:hAnsi="Times New Roman" w:cs="Times New Roman"/>
          <w:sz w:val="18"/>
          <w:szCs w:val="18"/>
        </w:rPr>
        <w:footnoteRef/>
      </w:r>
      <w:r w:rsidRPr="00265E36">
        <w:rPr>
          <w:rFonts w:ascii="Times New Roman" w:hAnsi="Times New Roman" w:cs="Times New Roman"/>
          <w:sz w:val="18"/>
          <w:szCs w:val="18"/>
        </w:rPr>
        <w:t xml:space="preserve"> </w:t>
      </w:r>
      <w:r w:rsidRPr="003E328F">
        <w:rPr>
          <w:rFonts w:ascii="Times New Roman" w:hAnsi="Times New Roman" w:cs="Times New Roman"/>
          <w:szCs w:val="18"/>
        </w:rPr>
        <w:t xml:space="preserve">El presente artículo se desarrolló en el contexto del proyecto </w:t>
      </w:r>
      <w:proofErr w:type="spellStart"/>
      <w:r w:rsidRPr="003E328F">
        <w:rPr>
          <w:rFonts w:ascii="Times New Roman" w:hAnsi="Times New Roman" w:cs="Times New Roman"/>
          <w:szCs w:val="18"/>
        </w:rPr>
        <w:t>UBACyT</w:t>
      </w:r>
      <w:proofErr w:type="spellEnd"/>
      <w:r w:rsidRPr="003E328F">
        <w:rPr>
          <w:rFonts w:ascii="Arial" w:hAnsi="Arial" w:cs="Arial"/>
          <w:color w:val="222222"/>
          <w:sz w:val="28"/>
          <w:szCs w:val="26"/>
          <w:shd w:val="clear" w:color="auto" w:fill="FFFFFF"/>
        </w:rPr>
        <w:t xml:space="preserve"> </w:t>
      </w:r>
      <w:r w:rsidRPr="003E328F">
        <w:rPr>
          <w:rFonts w:ascii="Times New Roman" w:hAnsi="Times New Roman" w:cs="Times New Roman"/>
          <w:szCs w:val="18"/>
        </w:rPr>
        <w:t xml:space="preserve">(2014-2017). Código: 20020130100537BA. “Heterogeneidad estructural, desigualdad distributiva y nuevas marginalidades sociales (1974-2014)”, con sede en el Programa Cambio Estructural y Desigualdad Social del Instituto de Investigaciones Gino </w:t>
      </w:r>
      <w:proofErr w:type="spellStart"/>
      <w:r w:rsidRPr="003E328F">
        <w:rPr>
          <w:rFonts w:ascii="Times New Roman" w:hAnsi="Times New Roman" w:cs="Times New Roman"/>
          <w:szCs w:val="18"/>
        </w:rPr>
        <w:t>Germani</w:t>
      </w:r>
      <w:proofErr w:type="spellEnd"/>
      <w:r w:rsidRPr="003E328F">
        <w:rPr>
          <w:rFonts w:ascii="Times New Roman" w:hAnsi="Times New Roman" w:cs="Times New Roman"/>
          <w:szCs w:val="18"/>
        </w:rPr>
        <w:t xml:space="preserve"> de la Universidad de Buenos Aires. Asimismo, constituye una contribución al proyecto International Network </w:t>
      </w:r>
      <w:proofErr w:type="spellStart"/>
      <w:r w:rsidRPr="003E328F">
        <w:rPr>
          <w:rFonts w:ascii="Times New Roman" w:hAnsi="Times New Roman" w:cs="Times New Roman"/>
          <w:szCs w:val="18"/>
        </w:rPr>
        <w:t>for</w:t>
      </w:r>
      <w:proofErr w:type="spellEnd"/>
      <w:r w:rsidRPr="003E328F">
        <w:rPr>
          <w:rFonts w:ascii="Times New Roman" w:hAnsi="Times New Roman" w:cs="Times New Roman"/>
          <w:szCs w:val="18"/>
        </w:rPr>
        <w:t xml:space="preserve"> </w:t>
      </w:r>
      <w:proofErr w:type="spellStart"/>
      <w:r w:rsidRPr="003E328F">
        <w:rPr>
          <w:rFonts w:ascii="Times New Roman" w:hAnsi="Times New Roman" w:cs="Times New Roman"/>
          <w:szCs w:val="18"/>
        </w:rPr>
        <w:t>Comparative</w:t>
      </w:r>
      <w:proofErr w:type="spellEnd"/>
      <w:r w:rsidRPr="003E328F">
        <w:rPr>
          <w:rFonts w:ascii="Times New Roman" w:hAnsi="Times New Roman" w:cs="Times New Roman"/>
          <w:szCs w:val="18"/>
        </w:rPr>
        <w:t xml:space="preserve"> </w:t>
      </w:r>
      <w:proofErr w:type="spellStart"/>
      <w:r w:rsidRPr="003E328F">
        <w:rPr>
          <w:rFonts w:ascii="Times New Roman" w:hAnsi="Times New Roman" w:cs="Times New Roman"/>
          <w:szCs w:val="18"/>
        </w:rPr>
        <w:t>Analysis</w:t>
      </w:r>
      <w:proofErr w:type="spellEnd"/>
      <w:r w:rsidRPr="003E328F">
        <w:rPr>
          <w:rFonts w:ascii="Times New Roman" w:hAnsi="Times New Roman" w:cs="Times New Roman"/>
          <w:szCs w:val="18"/>
        </w:rPr>
        <w:t xml:space="preserve"> of Social </w:t>
      </w:r>
      <w:proofErr w:type="spellStart"/>
      <w:r w:rsidRPr="003E328F">
        <w:rPr>
          <w:rFonts w:ascii="Times New Roman" w:hAnsi="Times New Roman" w:cs="Times New Roman"/>
          <w:szCs w:val="18"/>
        </w:rPr>
        <w:t>Inequalities</w:t>
      </w:r>
      <w:proofErr w:type="spellEnd"/>
      <w:r w:rsidRPr="003E328F">
        <w:rPr>
          <w:rFonts w:ascii="Times New Roman" w:hAnsi="Times New Roman" w:cs="Times New Roman"/>
          <w:szCs w:val="18"/>
        </w:rPr>
        <w:t xml:space="preserve"> (INCASI), el cual cuenta con el apoyo económico del programa “Horizonte 2020” de la Unión Europea. De manera particular, se agradece al Lic. Santiago </w:t>
      </w:r>
      <w:proofErr w:type="spellStart"/>
      <w:r w:rsidRPr="003E328F">
        <w:rPr>
          <w:rFonts w:ascii="Times New Roman" w:hAnsi="Times New Roman" w:cs="Times New Roman"/>
          <w:szCs w:val="18"/>
        </w:rPr>
        <w:t>Poy</w:t>
      </w:r>
      <w:proofErr w:type="spellEnd"/>
      <w:r w:rsidRPr="003E328F">
        <w:rPr>
          <w:rFonts w:ascii="Times New Roman" w:hAnsi="Times New Roman" w:cs="Times New Roman"/>
          <w:szCs w:val="18"/>
        </w:rPr>
        <w:t xml:space="preserve"> por su contribución en la elaboración de las bases de datos utilizadas en este estudio, sin lo cual la realización del presente trabajo hubiese resultado imposible. Una versión preliminar ha sido presentado en el VIII Congreso ALAST realizado en la Ciudad de Buenos Aires en el mes de agosto de 2016. En este sentido, agradecemos los comentarios de la Dra. Gabriela Sala y el Dr. Gustavo </w:t>
      </w:r>
      <w:proofErr w:type="spellStart"/>
      <w:r w:rsidRPr="003E328F">
        <w:rPr>
          <w:rFonts w:ascii="Times New Roman" w:hAnsi="Times New Roman" w:cs="Times New Roman"/>
          <w:szCs w:val="18"/>
        </w:rPr>
        <w:t>Givisiez</w:t>
      </w:r>
      <w:proofErr w:type="spellEnd"/>
      <w:r w:rsidRPr="003E328F">
        <w:rPr>
          <w:rFonts w:ascii="Times New Roman" w:hAnsi="Times New Roman" w:cs="Times New Roman"/>
          <w:szCs w:val="18"/>
        </w:rPr>
        <w:t>, ya que fueron de gran relevancia para transformar el documento original que ha derivado en el presente artículo.</w:t>
      </w:r>
    </w:p>
  </w:footnote>
  <w:footnote w:id="2">
    <w:p w:rsidR="00876B94" w:rsidRPr="003E328F" w:rsidRDefault="00876B94" w:rsidP="004568E0">
      <w:pPr>
        <w:spacing w:after="0" w:line="240" w:lineRule="auto"/>
        <w:jc w:val="both"/>
        <w:rPr>
          <w:rFonts w:ascii="Times New Roman" w:hAnsi="Times New Roman" w:cs="Times New Roman"/>
          <w:sz w:val="20"/>
          <w:szCs w:val="18"/>
        </w:rPr>
      </w:pPr>
      <w:r w:rsidRPr="00265E36">
        <w:rPr>
          <w:rStyle w:val="Refdenotaalpie"/>
          <w:rFonts w:ascii="Times New Roman" w:hAnsi="Times New Roman" w:cs="Times New Roman"/>
          <w:sz w:val="18"/>
          <w:szCs w:val="18"/>
        </w:rPr>
        <w:footnoteRef/>
      </w:r>
      <w:r w:rsidRPr="00265E36">
        <w:rPr>
          <w:rFonts w:ascii="Times New Roman" w:hAnsi="Times New Roman" w:cs="Times New Roman"/>
          <w:sz w:val="18"/>
          <w:szCs w:val="18"/>
        </w:rPr>
        <w:t xml:space="preserve"> </w:t>
      </w:r>
      <w:r w:rsidRPr="003E328F">
        <w:rPr>
          <w:rFonts w:ascii="Times New Roman" w:hAnsi="Times New Roman" w:cs="Times New Roman"/>
          <w:sz w:val="20"/>
          <w:szCs w:val="18"/>
        </w:rPr>
        <w:t xml:space="preserve">Magister en Diseño y Gestión de Programas Sociales por FLACSO, Doctoranda en Ciencias Sociales por la Universidad de Buenos Aires, miembro del Programa Cambio Estructural y Desigualdad Social con sede en el Instituto de Investigaciones Gino </w:t>
      </w:r>
      <w:proofErr w:type="spellStart"/>
      <w:r w:rsidRPr="003E328F">
        <w:rPr>
          <w:rFonts w:ascii="Times New Roman" w:hAnsi="Times New Roman" w:cs="Times New Roman"/>
          <w:sz w:val="20"/>
          <w:szCs w:val="18"/>
        </w:rPr>
        <w:t>Germani</w:t>
      </w:r>
      <w:proofErr w:type="spellEnd"/>
      <w:r w:rsidRPr="003E328F">
        <w:rPr>
          <w:rFonts w:ascii="Times New Roman" w:hAnsi="Times New Roman" w:cs="Times New Roman"/>
          <w:sz w:val="20"/>
          <w:szCs w:val="18"/>
        </w:rPr>
        <w:t xml:space="preserve"> FCS/UBA.</w:t>
      </w:r>
      <w:r w:rsidR="001F3519">
        <w:rPr>
          <w:rFonts w:ascii="Times New Roman" w:hAnsi="Times New Roman" w:cs="Times New Roman"/>
          <w:sz w:val="20"/>
          <w:szCs w:val="18"/>
        </w:rPr>
        <w:t xml:space="preserve"> </w:t>
      </w:r>
      <w:r w:rsidR="00F96CA1" w:rsidRPr="00F96CA1">
        <w:rPr>
          <w:rFonts w:ascii="Times New Roman" w:hAnsi="Times New Roman" w:cs="Times New Roman"/>
          <w:sz w:val="20"/>
          <w:szCs w:val="18"/>
        </w:rPr>
        <w:t>orcid.org/0000-0002-9095-1138</w:t>
      </w:r>
      <w:r w:rsidR="00F96CA1">
        <w:rPr>
          <w:rFonts w:ascii="Times New Roman" w:hAnsi="Times New Roman" w:cs="Times New Roman"/>
          <w:sz w:val="20"/>
          <w:szCs w:val="18"/>
        </w:rPr>
        <w:t xml:space="preserve">. </w:t>
      </w:r>
      <w:r w:rsidR="00F96CA1" w:rsidRPr="00F96CA1">
        <w:rPr>
          <w:rFonts w:ascii="Times New Roman" w:hAnsi="Times New Roman" w:cs="Times New Roman"/>
          <w:sz w:val="20"/>
          <w:szCs w:val="18"/>
        </w:rPr>
        <w:t>scholar.google.com.ar/</w:t>
      </w:r>
      <w:proofErr w:type="spellStart"/>
      <w:r w:rsidR="00F96CA1" w:rsidRPr="00F96CA1">
        <w:rPr>
          <w:rFonts w:ascii="Times New Roman" w:hAnsi="Times New Roman" w:cs="Times New Roman"/>
          <w:sz w:val="20"/>
          <w:szCs w:val="18"/>
        </w:rPr>
        <w:t>citations?user</w:t>
      </w:r>
      <w:proofErr w:type="spellEnd"/>
      <w:r w:rsidR="00F96CA1" w:rsidRPr="00F96CA1">
        <w:rPr>
          <w:rFonts w:ascii="Times New Roman" w:hAnsi="Times New Roman" w:cs="Times New Roman"/>
          <w:sz w:val="20"/>
          <w:szCs w:val="18"/>
        </w:rPr>
        <w:t>=bNubfQ0AAAAJ&amp;hl=es</w:t>
      </w:r>
    </w:p>
  </w:footnote>
  <w:footnote w:id="3">
    <w:p w:rsidR="00876B94" w:rsidRPr="00A01660" w:rsidRDefault="00876B94" w:rsidP="004568E0">
      <w:pPr>
        <w:pStyle w:val="Textonotapie"/>
        <w:jc w:val="both"/>
        <w:rPr>
          <w:rFonts w:ascii="Times New Roman" w:hAnsi="Times New Roman" w:cs="Times New Roman"/>
          <w:szCs w:val="18"/>
        </w:rPr>
      </w:pPr>
      <w:r w:rsidRPr="002B05A0">
        <w:rPr>
          <w:rStyle w:val="Refdenotaalpie"/>
          <w:rFonts w:ascii="Times New Roman" w:hAnsi="Times New Roman" w:cs="Times New Roman"/>
          <w:sz w:val="18"/>
          <w:szCs w:val="18"/>
        </w:rPr>
        <w:footnoteRef/>
      </w:r>
      <w:r w:rsidRPr="002B05A0">
        <w:rPr>
          <w:rStyle w:val="Refdenotaalpie"/>
          <w:sz w:val="18"/>
        </w:rPr>
        <w:t xml:space="preserve"> </w:t>
      </w:r>
      <w:r w:rsidRPr="002B05A0">
        <w:rPr>
          <w:rFonts w:ascii="Times New Roman" w:hAnsi="Times New Roman" w:cs="Times New Roman"/>
          <w:szCs w:val="18"/>
        </w:rPr>
        <w:t>I</w:t>
      </w:r>
      <w:r w:rsidRPr="003E328F">
        <w:rPr>
          <w:rFonts w:ascii="Times New Roman" w:hAnsi="Times New Roman" w:cs="Times New Roman"/>
          <w:szCs w:val="18"/>
        </w:rPr>
        <w:t xml:space="preserve">nvestigador principal CONICET. Director del Programa Cambio Estructural y Desigualdad, Instituto de Investigaciones Gino </w:t>
      </w:r>
      <w:proofErr w:type="spellStart"/>
      <w:r w:rsidRPr="003E328F">
        <w:rPr>
          <w:rFonts w:ascii="Times New Roman" w:hAnsi="Times New Roman" w:cs="Times New Roman"/>
          <w:szCs w:val="18"/>
        </w:rPr>
        <w:t>Germani</w:t>
      </w:r>
      <w:proofErr w:type="spellEnd"/>
      <w:r w:rsidRPr="003E328F">
        <w:rPr>
          <w:rFonts w:ascii="Times New Roman" w:hAnsi="Times New Roman" w:cs="Times New Roman"/>
          <w:szCs w:val="18"/>
        </w:rPr>
        <w:t xml:space="preserve"> FCS/UBA. Director de Investigación del Observatorio de la Deuda Social Argentina. Pontificia Universidad Católica Argentina.</w:t>
      </w:r>
      <w:r w:rsidR="00DD5671">
        <w:rPr>
          <w:rFonts w:ascii="Times New Roman" w:hAnsi="Times New Roman" w:cs="Times New Roman"/>
          <w:szCs w:val="18"/>
        </w:rPr>
        <w:t xml:space="preserve"> </w:t>
      </w:r>
      <w:r w:rsidR="00A01660" w:rsidRPr="00A01660">
        <w:rPr>
          <w:rFonts w:ascii="Times New Roman" w:hAnsi="Times New Roman" w:cs="Times New Roman"/>
          <w:szCs w:val="18"/>
        </w:rPr>
        <w:t xml:space="preserve">orcid.org/0000-0003-4976-9008 </w:t>
      </w:r>
      <w:r w:rsidR="00F96CA1" w:rsidRPr="00F96CA1">
        <w:rPr>
          <w:rFonts w:ascii="Times New Roman" w:hAnsi="Times New Roman" w:cs="Times New Roman"/>
          <w:szCs w:val="18"/>
        </w:rPr>
        <w:t>http</w:t>
      </w:r>
      <w:bookmarkStart w:id="0" w:name="_GoBack"/>
      <w:bookmarkEnd w:id="0"/>
      <w:r w:rsidR="00F96CA1" w:rsidRPr="00F96CA1">
        <w:rPr>
          <w:rFonts w:ascii="Times New Roman" w:hAnsi="Times New Roman" w:cs="Times New Roman"/>
          <w:szCs w:val="18"/>
        </w:rPr>
        <w:t>s://scholar.google.com/citations?user=XCevbbcAAAAJ</w:t>
      </w:r>
    </w:p>
  </w:footnote>
  <w:footnote w:id="4">
    <w:p w:rsidR="00876B94" w:rsidRPr="003E328F" w:rsidRDefault="00876B94" w:rsidP="00265E36">
      <w:pPr>
        <w:pStyle w:val="Textonotapie"/>
        <w:jc w:val="both"/>
        <w:rPr>
          <w:rFonts w:ascii="Times New Roman" w:hAnsi="Times New Roman" w:cs="Times New Roman"/>
        </w:rPr>
      </w:pPr>
      <w:r w:rsidRPr="003E328F">
        <w:rPr>
          <w:rStyle w:val="Refdenotaalpie"/>
          <w:rFonts w:ascii="Times New Roman" w:hAnsi="Times New Roman" w:cs="Times New Roman"/>
        </w:rPr>
        <w:footnoteRef/>
      </w:r>
      <w:r w:rsidRPr="003E328F">
        <w:rPr>
          <w:rFonts w:ascii="Times New Roman" w:hAnsi="Times New Roman" w:cs="Times New Roman"/>
        </w:rPr>
        <w:t xml:space="preserve"> Para ello, se retoman numerosas producciones del Programa Cambio Estructural y Desigualdad Social (</w:t>
      </w:r>
      <w:proofErr w:type="spellStart"/>
      <w:r w:rsidRPr="003E328F">
        <w:rPr>
          <w:rFonts w:ascii="Times New Roman" w:hAnsi="Times New Roman" w:cs="Times New Roman"/>
        </w:rPr>
        <w:t>PCEyDS</w:t>
      </w:r>
      <w:proofErr w:type="spellEnd"/>
      <w:r w:rsidRPr="003E328F">
        <w:rPr>
          <w:rFonts w:ascii="Times New Roman" w:hAnsi="Times New Roman" w:cs="Times New Roman"/>
        </w:rPr>
        <w:t xml:space="preserve">-IIGG-UBA), especialmente el capítulo escrito por Agustín Salvia, Julieta Vera y Santiago </w:t>
      </w:r>
      <w:proofErr w:type="spellStart"/>
      <w:r w:rsidRPr="003E328F">
        <w:rPr>
          <w:rFonts w:ascii="Times New Roman" w:hAnsi="Times New Roman" w:cs="Times New Roman"/>
        </w:rPr>
        <w:t>Poy</w:t>
      </w:r>
      <w:proofErr w:type="spellEnd"/>
      <w:r w:rsidRPr="003E328F">
        <w:rPr>
          <w:rFonts w:ascii="Times New Roman" w:hAnsi="Times New Roman" w:cs="Times New Roman"/>
        </w:rPr>
        <w:t xml:space="preserve">: “Cambios y continuidades en la estructura ocupacional urbana argentina (1992-2012)”, publicado en el libro “Hora de Balance: Proceso de acumulación, mercado de trabajo y bienestar” (2014) compilado por Javier </w:t>
      </w:r>
      <w:proofErr w:type="spellStart"/>
      <w:r w:rsidRPr="003E328F">
        <w:rPr>
          <w:rFonts w:ascii="Times New Roman" w:hAnsi="Times New Roman" w:cs="Times New Roman"/>
        </w:rPr>
        <w:t>Lindenboim</w:t>
      </w:r>
      <w:proofErr w:type="spellEnd"/>
      <w:r w:rsidRPr="003E328F">
        <w:rPr>
          <w:rFonts w:ascii="Times New Roman" w:hAnsi="Times New Roman" w:cs="Times New Roman"/>
        </w:rPr>
        <w:t xml:space="preserve"> y Agustín Salvia. </w:t>
      </w:r>
    </w:p>
  </w:footnote>
  <w:footnote w:id="5">
    <w:p w:rsidR="00876B94" w:rsidRPr="003E328F" w:rsidRDefault="00876B94" w:rsidP="00265E36">
      <w:pPr>
        <w:pStyle w:val="Textonotapie"/>
        <w:jc w:val="both"/>
        <w:rPr>
          <w:rFonts w:ascii="Times New Roman" w:hAnsi="Times New Roman" w:cs="Times New Roman"/>
        </w:rPr>
      </w:pPr>
      <w:r w:rsidRPr="003E328F">
        <w:rPr>
          <w:rStyle w:val="Refdenotaalpie"/>
          <w:rFonts w:ascii="Times New Roman" w:hAnsi="Times New Roman" w:cs="Times New Roman"/>
        </w:rPr>
        <w:footnoteRef/>
      </w:r>
      <w:r w:rsidRPr="003E328F">
        <w:rPr>
          <w:rFonts w:ascii="Times New Roman" w:hAnsi="Times New Roman" w:cs="Times New Roman"/>
        </w:rPr>
        <w:t xml:space="preserve"> El GBA comprende una extendida y compleja concentración poblacional, convirtiéndose en un territorio de interés por su destacada participación económico-demográfica, y por su constitución como centro productivo, comercial, financiero y político más importante del país. “El Gran Buenos Aires concentra casi el 30% de la población urbana del país, consume aproximadamente el 40% de la energía eléctrica demandada y produce más del 45% del PBG nacional. De tal manera, los eventos ocurridos en esta jurisdicción impactan considerablemente en cualquier análisis del país en su conjunto” (Salvia, 147:2012). </w:t>
      </w:r>
    </w:p>
  </w:footnote>
  <w:footnote w:id="6">
    <w:p w:rsidR="00876B94" w:rsidRPr="003E328F" w:rsidRDefault="00876B94" w:rsidP="00265E36">
      <w:pPr>
        <w:pStyle w:val="Textonotapie"/>
        <w:jc w:val="both"/>
      </w:pPr>
      <w:r w:rsidRPr="003E328F">
        <w:rPr>
          <w:rStyle w:val="Refdenotaalpie"/>
          <w:rFonts w:ascii="Times New Roman" w:hAnsi="Times New Roman" w:cs="Times New Roman"/>
        </w:rPr>
        <w:footnoteRef/>
      </w:r>
      <w:r w:rsidRPr="003E328F">
        <w:rPr>
          <w:rFonts w:ascii="Times New Roman" w:hAnsi="Times New Roman" w:cs="Times New Roman"/>
        </w:rPr>
        <w:t xml:space="preserve"> Dada esta especificación del perfil de los casos bajo análisis -y la cantidad de campos y categorías en que se distribuyen- los niveles de error </w:t>
      </w:r>
      <w:proofErr w:type="spellStart"/>
      <w:r w:rsidRPr="003E328F">
        <w:rPr>
          <w:rFonts w:ascii="Times New Roman" w:hAnsi="Times New Roman" w:cs="Times New Roman"/>
        </w:rPr>
        <w:t>muestral</w:t>
      </w:r>
      <w:proofErr w:type="spellEnd"/>
      <w:r w:rsidRPr="003E328F">
        <w:rPr>
          <w:rFonts w:ascii="Times New Roman" w:hAnsi="Times New Roman" w:cs="Times New Roman"/>
        </w:rPr>
        <w:t xml:space="preserve"> en algunos años testigo resultan sensiblemente más altos y pueden impactar sobre las proporciones presentes en los mismos.</w:t>
      </w:r>
    </w:p>
  </w:footnote>
  <w:footnote w:id="7">
    <w:p w:rsidR="00876B94" w:rsidRPr="003E328F" w:rsidRDefault="00876B94" w:rsidP="00265E36">
      <w:pPr>
        <w:pStyle w:val="Textonotapie"/>
        <w:jc w:val="both"/>
        <w:rPr>
          <w:rFonts w:ascii="Times New Roman" w:hAnsi="Times New Roman" w:cs="Times New Roman"/>
        </w:rPr>
      </w:pPr>
      <w:r w:rsidRPr="003E328F">
        <w:rPr>
          <w:rStyle w:val="Refdenotaalpie"/>
          <w:rFonts w:ascii="Times New Roman" w:hAnsi="Times New Roman" w:cs="Times New Roman"/>
          <w:szCs w:val="18"/>
        </w:rPr>
        <w:footnoteRef/>
      </w:r>
      <w:r w:rsidRPr="00265E36">
        <w:rPr>
          <w:rFonts w:ascii="Times New Roman" w:hAnsi="Times New Roman" w:cs="Times New Roman"/>
          <w:sz w:val="18"/>
          <w:szCs w:val="18"/>
        </w:rPr>
        <w:t xml:space="preserve"> </w:t>
      </w:r>
      <w:r w:rsidRPr="003E328F">
        <w:rPr>
          <w:rFonts w:ascii="Times New Roman" w:hAnsi="Times New Roman" w:cs="Times New Roman"/>
        </w:rPr>
        <w:t xml:space="preserve">Se parte de la idea que la educación es el motor del progreso y del cambio, para lo cual se tiene que aprovechar de manera óptima el capital humano y adaptar la enseñanza a la evolución y al cambio provocado por la dinámica del mercado. Véase Becker (1983), Banco Mundial (1996), Banco Interamericano de Desarrollo (1998), OCDE (1998), UNESCO (1997), entre otros. </w:t>
      </w:r>
    </w:p>
  </w:footnote>
  <w:footnote w:id="8">
    <w:p w:rsidR="00876B94" w:rsidRPr="003E328F" w:rsidRDefault="00876B94" w:rsidP="00265E36">
      <w:pPr>
        <w:pStyle w:val="Textonotapie"/>
        <w:jc w:val="both"/>
        <w:rPr>
          <w:rFonts w:ascii="Times New Roman" w:hAnsi="Times New Roman" w:cs="Times New Roman"/>
        </w:rPr>
      </w:pPr>
      <w:r w:rsidRPr="003E328F">
        <w:rPr>
          <w:rStyle w:val="Refdenotaalpie"/>
          <w:rFonts w:ascii="Times New Roman" w:hAnsi="Times New Roman" w:cs="Times New Roman"/>
        </w:rPr>
        <w:footnoteRef/>
      </w:r>
      <w:r w:rsidRPr="003E328F">
        <w:rPr>
          <w:rFonts w:ascii="Times New Roman" w:hAnsi="Times New Roman" w:cs="Times New Roman"/>
        </w:rPr>
        <w:t xml:space="preserve"> Los jóvenes tienen menores costos de oportunidad en esta búsqueda ya que tienen menores salarios, e incluso es menos probable que tengan un hogar a cargo, es decir, es menos lo que pierden por continuar buscando un empleo acorde a sus expectativas (O´Higgins, 1997). Las teorías de </w:t>
      </w:r>
      <w:proofErr w:type="spellStart"/>
      <w:r w:rsidRPr="003E328F">
        <w:rPr>
          <w:rFonts w:ascii="Times New Roman" w:hAnsi="Times New Roman" w:cs="Times New Roman"/>
          <w:i/>
        </w:rPr>
        <w:t>job</w:t>
      </w:r>
      <w:proofErr w:type="spellEnd"/>
      <w:r w:rsidRPr="003E328F">
        <w:rPr>
          <w:rFonts w:ascii="Times New Roman" w:hAnsi="Times New Roman" w:cs="Times New Roman"/>
          <w:i/>
        </w:rPr>
        <w:t xml:space="preserve"> </w:t>
      </w:r>
      <w:proofErr w:type="spellStart"/>
      <w:r w:rsidRPr="003E328F">
        <w:rPr>
          <w:rFonts w:ascii="Times New Roman" w:hAnsi="Times New Roman" w:cs="Times New Roman"/>
          <w:i/>
        </w:rPr>
        <w:t>matching</w:t>
      </w:r>
      <w:proofErr w:type="spellEnd"/>
      <w:r w:rsidRPr="003E328F">
        <w:rPr>
          <w:rFonts w:ascii="Times New Roman" w:hAnsi="Times New Roman" w:cs="Times New Roman"/>
        </w:rPr>
        <w:t xml:space="preserve"> (</w:t>
      </w:r>
      <w:proofErr w:type="spellStart"/>
      <w:r w:rsidRPr="003E328F">
        <w:rPr>
          <w:rFonts w:ascii="Times New Roman" w:hAnsi="Times New Roman" w:cs="Times New Roman"/>
        </w:rPr>
        <w:t>Jobanovic</w:t>
      </w:r>
      <w:proofErr w:type="spellEnd"/>
      <w:r w:rsidRPr="003E328F">
        <w:rPr>
          <w:rFonts w:ascii="Times New Roman" w:hAnsi="Times New Roman" w:cs="Times New Roman"/>
        </w:rPr>
        <w:t xml:space="preserve">, 1979) </w:t>
      </w:r>
      <w:r w:rsidRPr="003E328F">
        <w:rPr>
          <w:rFonts w:ascii="Times New Roman" w:hAnsi="Times New Roman" w:cs="Times New Roman"/>
          <w:i/>
        </w:rPr>
        <w:t xml:space="preserve">y </w:t>
      </w:r>
      <w:proofErr w:type="spellStart"/>
      <w:r w:rsidRPr="003E328F">
        <w:rPr>
          <w:rFonts w:ascii="Times New Roman" w:hAnsi="Times New Roman" w:cs="Times New Roman"/>
          <w:i/>
        </w:rPr>
        <w:t>job</w:t>
      </w:r>
      <w:proofErr w:type="spellEnd"/>
      <w:r w:rsidRPr="003E328F">
        <w:rPr>
          <w:rFonts w:ascii="Times New Roman" w:hAnsi="Times New Roman" w:cs="Times New Roman"/>
          <w:i/>
        </w:rPr>
        <w:t xml:space="preserve"> shopping</w:t>
      </w:r>
      <w:r w:rsidRPr="003E328F">
        <w:rPr>
          <w:rFonts w:ascii="Times New Roman" w:hAnsi="Times New Roman" w:cs="Times New Roman"/>
        </w:rPr>
        <w:t xml:space="preserve"> (Johnson, 1978) apuntan en este sentido. </w:t>
      </w:r>
    </w:p>
  </w:footnote>
  <w:footnote w:id="9">
    <w:p w:rsidR="00876B94" w:rsidRPr="009824BF" w:rsidRDefault="00876B94" w:rsidP="00056F42">
      <w:pPr>
        <w:pStyle w:val="Textonotapie"/>
        <w:rPr>
          <w:rFonts w:ascii="Times New Roman" w:hAnsi="Times New Roman" w:cs="Times New Roman"/>
        </w:rPr>
      </w:pPr>
      <w:r w:rsidRPr="009824BF">
        <w:rPr>
          <w:rStyle w:val="Refdenotaalpie"/>
          <w:rFonts w:ascii="Times New Roman" w:hAnsi="Times New Roman" w:cs="Times New Roman"/>
        </w:rPr>
        <w:footnoteRef/>
      </w:r>
      <w:r w:rsidRPr="009824BF">
        <w:rPr>
          <w:rFonts w:ascii="Times New Roman" w:hAnsi="Times New Roman" w:cs="Times New Roman"/>
        </w:rPr>
        <w:t xml:space="preserve"> Véase Tabla AM.1 en Anexo Metodológico. </w:t>
      </w:r>
    </w:p>
  </w:footnote>
  <w:footnote w:id="10">
    <w:p w:rsidR="00876B94" w:rsidRPr="009824BF" w:rsidRDefault="00876B94" w:rsidP="00056F42">
      <w:pPr>
        <w:pStyle w:val="Textonotapie"/>
      </w:pPr>
      <w:r w:rsidRPr="009824BF">
        <w:rPr>
          <w:rStyle w:val="Refdenotaalpie"/>
          <w:rFonts w:ascii="Times New Roman" w:hAnsi="Times New Roman" w:cs="Times New Roman"/>
        </w:rPr>
        <w:footnoteRef/>
      </w:r>
      <w:r w:rsidRPr="009824BF">
        <w:rPr>
          <w:rFonts w:ascii="Times New Roman" w:hAnsi="Times New Roman" w:cs="Times New Roman"/>
        </w:rPr>
        <w:t xml:space="preserve"> Véase Tabla AM.2 en Anexo metodológico.</w:t>
      </w:r>
      <w:r w:rsidRPr="009824BF">
        <w:t xml:space="preserve"> </w:t>
      </w:r>
    </w:p>
  </w:footnote>
  <w:footnote w:id="11">
    <w:p w:rsidR="00876B94" w:rsidRPr="000C610C" w:rsidRDefault="00876B94" w:rsidP="00056F42">
      <w:pPr>
        <w:pStyle w:val="Textonotapie"/>
        <w:jc w:val="both"/>
        <w:rPr>
          <w:rFonts w:ascii="Times New Roman" w:hAnsi="Times New Roman" w:cs="Times New Roman"/>
          <w:sz w:val="18"/>
          <w:szCs w:val="18"/>
        </w:rPr>
      </w:pPr>
      <w:r w:rsidRPr="009824BF">
        <w:rPr>
          <w:rStyle w:val="Refdenotaalpie"/>
          <w:rFonts w:ascii="Times New Roman" w:hAnsi="Times New Roman" w:cs="Times New Roman"/>
        </w:rPr>
        <w:footnoteRef/>
      </w:r>
      <w:r w:rsidRPr="009824BF">
        <w:rPr>
          <w:rFonts w:ascii="Times New Roman" w:hAnsi="Times New Roman" w:cs="Times New Roman"/>
        </w:rPr>
        <w:t xml:space="preserve"> Dicha fuente de datos sufrió una serie de modificaciones a lo largo del periodo bajo estudio, principalmente una completa reformulación instrumentada en el segundo semestre del año 2003 que reemplaza la antigua EPH “puntual” por la EPH “continua”. Debido a la reformulación, el equipo del Programa Cambio Estructural y Desigualdad Social del Instituto de Investigaciones Gino </w:t>
      </w:r>
      <w:proofErr w:type="spellStart"/>
      <w:r w:rsidRPr="009824BF">
        <w:rPr>
          <w:rFonts w:ascii="Times New Roman" w:hAnsi="Times New Roman" w:cs="Times New Roman"/>
        </w:rPr>
        <w:t>Germani</w:t>
      </w:r>
      <w:proofErr w:type="spellEnd"/>
      <w:r w:rsidRPr="009824BF">
        <w:rPr>
          <w:rFonts w:ascii="Times New Roman" w:hAnsi="Times New Roman" w:cs="Times New Roman"/>
        </w:rPr>
        <w:t xml:space="preserve"> de la Universidad de Buenos Aires viene realizando un ejercicio de empalme propio para el estudio de los cambios ocurridos en la heterogeneidad de la estructura ocupacional y la segmentación del mercado de laboral para construir series históricas comparables (véase Salvia, Comas, Gutiérrez </w:t>
      </w:r>
      <w:proofErr w:type="spellStart"/>
      <w:r w:rsidRPr="009824BF">
        <w:rPr>
          <w:rFonts w:ascii="Times New Roman" w:hAnsi="Times New Roman" w:cs="Times New Roman"/>
        </w:rPr>
        <w:t>Ageitos</w:t>
      </w:r>
      <w:proofErr w:type="spellEnd"/>
      <w:r w:rsidRPr="009824BF">
        <w:rPr>
          <w:rFonts w:ascii="Times New Roman" w:hAnsi="Times New Roman" w:cs="Times New Roman"/>
        </w:rPr>
        <w:t xml:space="preserve">, </w:t>
      </w:r>
      <w:proofErr w:type="spellStart"/>
      <w:r w:rsidRPr="009824BF">
        <w:rPr>
          <w:rFonts w:ascii="Times New Roman" w:hAnsi="Times New Roman" w:cs="Times New Roman"/>
        </w:rPr>
        <w:t>Quartulli</w:t>
      </w:r>
      <w:proofErr w:type="spellEnd"/>
      <w:r w:rsidRPr="009824BF">
        <w:rPr>
          <w:rFonts w:ascii="Times New Roman" w:hAnsi="Times New Roman" w:cs="Times New Roman"/>
        </w:rPr>
        <w:t xml:space="preserve">, y </w:t>
      </w:r>
      <w:proofErr w:type="spellStart"/>
      <w:r w:rsidRPr="009824BF">
        <w:rPr>
          <w:rFonts w:ascii="Times New Roman" w:hAnsi="Times New Roman" w:cs="Times New Roman"/>
        </w:rPr>
        <w:t>Stefani</w:t>
      </w:r>
      <w:proofErr w:type="spellEnd"/>
      <w:r w:rsidRPr="009824BF">
        <w:rPr>
          <w:rFonts w:ascii="Times New Roman" w:hAnsi="Times New Roman" w:cs="Times New Roman"/>
        </w:rPr>
        <w:t xml:space="preserve">, 2008). El empalme realizado aquí retoma el presentado en el capítulo de Salvia, Vera y </w:t>
      </w:r>
      <w:proofErr w:type="spellStart"/>
      <w:r w:rsidRPr="009824BF">
        <w:rPr>
          <w:rFonts w:ascii="Times New Roman" w:hAnsi="Times New Roman" w:cs="Times New Roman"/>
        </w:rPr>
        <w:t>Poy</w:t>
      </w:r>
      <w:proofErr w:type="spellEnd"/>
      <w:r w:rsidRPr="009824BF">
        <w:rPr>
          <w:rFonts w:ascii="Times New Roman" w:hAnsi="Times New Roman" w:cs="Times New Roman"/>
        </w:rPr>
        <w:t xml:space="preserve"> (2015).</w:t>
      </w:r>
    </w:p>
  </w:footnote>
  <w:footnote w:id="12">
    <w:p w:rsidR="00876B94" w:rsidRPr="009824BF" w:rsidRDefault="00876B94" w:rsidP="006459EB">
      <w:pPr>
        <w:pStyle w:val="Textonotapie"/>
        <w:jc w:val="both"/>
        <w:rPr>
          <w:rFonts w:ascii="Times New Roman" w:hAnsi="Times New Roman" w:cs="Times New Roman"/>
        </w:rPr>
      </w:pPr>
      <w:r w:rsidRPr="009824BF">
        <w:rPr>
          <w:rStyle w:val="Refdenotaalpie"/>
          <w:rFonts w:ascii="Times New Roman" w:hAnsi="Times New Roman" w:cs="Times New Roman"/>
        </w:rPr>
        <w:footnoteRef/>
      </w:r>
      <w:r w:rsidRPr="009824BF">
        <w:rPr>
          <w:rFonts w:ascii="Times New Roman" w:hAnsi="Times New Roman" w:cs="Times New Roman"/>
        </w:rPr>
        <w:t xml:space="preserve"> Es necesario acentuar que justamente por haber sido lanzado en el año 2014, no es de esperar un efecto inmediato en la población joven. Se esperan mayores impactos para los años que siguen.  </w:t>
      </w:r>
    </w:p>
  </w:footnote>
  <w:footnote w:id="13">
    <w:p w:rsidR="00876B94" w:rsidRPr="009824BF" w:rsidRDefault="00876B94" w:rsidP="006459EB">
      <w:pPr>
        <w:pStyle w:val="Textonotapie"/>
        <w:jc w:val="both"/>
        <w:rPr>
          <w:rFonts w:ascii="Times New Roman" w:hAnsi="Times New Roman" w:cs="Times New Roman"/>
        </w:rPr>
      </w:pPr>
      <w:r w:rsidRPr="009824BF">
        <w:rPr>
          <w:rStyle w:val="Refdenotaalpie"/>
          <w:rFonts w:ascii="Times New Roman" w:hAnsi="Times New Roman" w:cs="Times New Roman"/>
        </w:rPr>
        <w:footnoteRef/>
      </w:r>
      <w:r w:rsidRPr="009824BF">
        <w:rPr>
          <w:rStyle w:val="Refdenotaalpie"/>
          <w:rFonts w:ascii="Times New Roman" w:hAnsi="Times New Roman" w:cs="Times New Roman"/>
        </w:rPr>
        <w:t xml:space="preserve"> </w:t>
      </w:r>
      <w:r w:rsidRPr="009824BF">
        <w:rPr>
          <w:rFonts w:ascii="Times New Roman" w:hAnsi="Times New Roman" w:cs="Times New Roman"/>
        </w:rPr>
        <w:t>Superada la crisis, se reformuló la política de empleo en Argentina dando lugar a otros programas que también alcanzan a la población joven como el Plan Familias y el Seguro de Capacitación y Empleo (</w:t>
      </w:r>
      <w:proofErr w:type="spellStart"/>
      <w:r w:rsidRPr="009824BF">
        <w:rPr>
          <w:rFonts w:ascii="Times New Roman" w:hAnsi="Times New Roman" w:cs="Times New Roman"/>
        </w:rPr>
        <w:t>SCyE</w:t>
      </w:r>
      <w:proofErr w:type="spellEnd"/>
      <w:r w:rsidRPr="009824BF">
        <w:rPr>
          <w:rFonts w:ascii="Times New Roman" w:hAnsi="Times New Roman" w:cs="Times New Roman"/>
        </w:rPr>
        <w:t xml:space="preserve">), Programa Argentina Trabaja gestionado por el Ministerio de Desarrollo Social, que incluso incorpora otra línea denominada “Argentina trabaja, enseña y aprende”, que facilita el acceso a la alfabetización y a la finalización de los estudios primarios o secundarios a través del Plan </w:t>
      </w:r>
      <w:proofErr w:type="spellStart"/>
      <w:r w:rsidRPr="009824BF">
        <w:rPr>
          <w:rFonts w:ascii="Times New Roman" w:hAnsi="Times New Roman" w:cs="Times New Roman"/>
        </w:rPr>
        <w:t>FinEs</w:t>
      </w:r>
      <w:proofErr w:type="spellEnd"/>
      <w:r w:rsidRPr="009824BF">
        <w:rPr>
          <w:rFonts w:ascii="Times New Roman" w:hAnsi="Times New Roman" w:cs="Times New Roman"/>
        </w:rPr>
        <w:t>, y también el “Ellas Hacen”. Todos ellos incorporan a la población mayor de 18 años, y algunos estudios destacan la amplia participación de los jóvenes de 18 a 24 años. Véase OIT, 2015.</w:t>
      </w:r>
    </w:p>
  </w:footnote>
  <w:footnote w:id="14">
    <w:p w:rsidR="00876B94" w:rsidRPr="00DB54A4" w:rsidRDefault="00876B94" w:rsidP="00DB54A4">
      <w:pPr>
        <w:tabs>
          <w:tab w:val="left" w:pos="2955"/>
        </w:tabs>
        <w:spacing w:line="240" w:lineRule="auto"/>
        <w:jc w:val="both"/>
        <w:rPr>
          <w:rFonts w:ascii="Times New Roman" w:hAnsi="Times New Roman" w:cs="Times New Roman"/>
          <w:sz w:val="18"/>
          <w:szCs w:val="18"/>
        </w:rPr>
      </w:pPr>
      <w:r w:rsidRPr="009824BF">
        <w:rPr>
          <w:rStyle w:val="Refdenotaalpie"/>
          <w:rFonts w:ascii="Times New Roman" w:hAnsi="Times New Roman" w:cs="Times New Roman"/>
          <w:sz w:val="20"/>
          <w:szCs w:val="20"/>
        </w:rPr>
        <w:footnoteRef/>
      </w:r>
      <w:r w:rsidRPr="009824BF">
        <w:rPr>
          <w:rFonts w:ascii="Times New Roman" w:hAnsi="Times New Roman" w:cs="Times New Roman"/>
          <w:sz w:val="20"/>
          <w:szCs w:val="20"/>
        </w:rPr>
        <w:t xml:space="preserve"> Algunas cuestiones importantes respecto al régimen de </w:t>
      </w:r>
      <w:proofErr w:type="spellStart"/>
      <w:r w:rsidRPr="009824BF">
        <w:rPr>
          <w:rFonts w:ascii="Times New Roman" w:hAnsi="Times New Roman" w:cs="Times New Roman"/>
          <w:sz w:val="20"/>
          <w:szCs w:val="20"/>
        </w:rPr>
        <w:t>monotributo</w:t>
      </w:r>
      <w:proofErr w:type="spellEnd"/>
      <w:r w:rsidRPr="009824BF">
        <w:rPr>
          <w:rFonts w:ascii="Times New Roman" w:hAnsi="Times New Roman" w:cs="Times New Roman"/>
          <w:sz w:val="20"/>
          <w:szCs w:val="20"/>
        </w:rPr>
        <w:t xml:space="preserve"> en Argentina. El mismo fue introducido en el sistema tributario en el año 1998 (Ley 24.977), su estructura básica contempló la posibilidad para los pequeños contribuyentes (aquellos con hasta un monto máximo de ingresos brutos anuales) de cumplir con sus principales obligaciones tributarias (Impuesto a las Ganancias e Impuesto al Valor Agregado) y previsionales (jubilación y obra social) a través del pago de una determinada suma fija de dinero. La implementación de estos regímenes en la mayoría de los países latinoamericanos tuvo como objetivo facilitar el pago de impuestos de contribuyentes con características como ser perceptores de bajos ingresos, pertenecer al sector informal de la economía, contar con una pobre estructura organizacional y tener alta movilidad de entrada y salida al mercado laboral (</w:t>
      </w:r>
      <w:proofErr w:type="spellStart"/>
      <w:r w:rsidRPr="009824BF">
        <w:rPr>
          <w:rFonts w:ascii="Times New Roman" w:hAnsi="Times New Roman" w:cs="Times New Roman"/>
          <w:sz w:val="20"/>
          <w:szCs w:val="20"/>
        </w:rPr>
        <w:t>Beccaria</w:t>
      </w:r>
      <w:proofErr w:type="spellEnd"/>
      <w:r w:rsidRPr="009824BF">
        <w:rPr>
          <w:rFonts w:ascii="Times New Roman" w:hAnsi="Times New Roman" w:cs="Times New Roman"/>
          <w:sz w:val="20"/>
          <w:szCs w:val="20"/>
        </w:rPr>
        <w:t xml:space="preserve"> et al 2011, </w:t>
      </w:r>
      <w:proofErr w:type="spellStart"/>
      <w:r w:rsidRPr="009824BF">
        <w:rPr>
          <w:rFonts w:ascii="Times New Roman" w:hAnsi="Times New Roman" w:cs="Times New Roman"/>
          <w:sz w:val="20"/>
          <w:szCs w:val="20"/>
        </w:rPr>
        <w:t>Cetrángolo</w:t>
      </w:r>
      <w:proofErr w:type="spellEnd"/>
      <w:r w:rsidRPr="009824BF">
        <w:rPr>
          <w:rFonts w:ascii="Times New Roman" w:hAnsi="Times New Roman" w:cs="Times New Roman"/>
          <w:sz w:val="20"/>
          <w:szCs w:val="20"/>
        </w:rPr>
        <w:t xml:space="preserve"> et al, 2014). Es así como este régimen logra simplificar las normas legales y los trámites administrativos que implica cumplir con las obligaciones tributarias, brindando facilidades para atraer a la formalidad a los agentes económicos y, además, mejorar el manejo de los recursos de la administración tributaria. Para información técnica más detallada véase el instructivo de la Administración de Fondos e Ingresos Públicos argentino: </w:t>
      </w:r>
      <w:hyperlink r:id="rId1" w:history="1">
        <w:r w:rsidRPr="009824BF">
          <w:rPr>
            <w:rStyle w:val="Hipervnculo"/>
            <w:rFonts w:ascii="Times New Roman" w:hAnsi="Times New Roman" w:cs="Times New Roman"/>
            <w:sz w:val="20"/>
            <w:szCs w:val="20"/>
          </w:rPr>
          <w:t>https://www.afip.gob.ar/guiaDeServicios/documentos/ManualMonotributo.pdf</w:t>
        </w:r>
      </w:hyperlink>
      <w:r w:rsidRPr="009824BF">
        <w:rPr>
          <w:rFonts w:ascii="Times New Roman" w:hAnsi="Times New Roman" w:cs="Times New Roman"/>
          <w:sz w:val="20"/>
          <w:szCs w:val="20"/>
        </w:rPr>
        <w:t>.</w:t>
      </w:r>
    </w:p>
  </w:footnote>
  <w:footnote w:id="15">
    <w:p w:rsidR="00876B94" w:rsidRPr="009824BF" w:rsidRDefault="00876B94" w:rsidP="002F6FD2">
      <w:pPr>
        <w:pStyle w:val="Textonotapie"/>
        <w:jc w:val="both"/>
        <w:rPr>
          <w:rFonts w:ascii="Times New Roman" w:hAnsi="Times New Roman" w:cs="Times New Roman"/>
        </w:rPr>
      </w:pPr>
      <w:r w:rsidRPr="009824BF">
        <w:rPr>
          <w:rStyle w:val="Refdenotaalpie"/>
          <w:rFonts w:ascii="Times New Roman" w:hAnsi="Times New Roman" w:cs="Times New Roman"/>
        </w:rPr>
        <w:footnoteRef/>
      </w:r>
      <w:r w:rsidRPr="009824BF">
        <w:rPr>
          <w:rFonts w:ascii="Times New Roman" w:hAnsi="Times New Roman" w:cs="Times New Roman"/>
        </w:rPr>
        <w:t xml:space="preserve"> Entre 2003 y 2012 el empleo público se incrementó un 70%: los empleados de planta permanente crecieron un 43%, los trabajadores en planta transitoria o “contratados” lo hicieron en un 224% (Pomares, </w:t>
      </w:r>
      <w:proofErr w:type="spellStart"/>
      <w:r w:rsidRPr="009824BF">
        <w:rPr>
          <w:rFonts w:ascii="Times New Roman" w:hAnsi="Times New Roman" w:cs="Times New Roman"/>
        </w:rPr>
        <w:t>Gasparin</w:t>
      </w:r>
      <w:proofErr w:type="spellEnd"/>
      <w:r w:rsidRPr="009824BF">
        <w:rPr>
          <w:rFonts w:ascii="Times New Roman" w:hAnsi="Times New Roman" w:cs="Times New Roman"/>
        </w:rPr>
        <w:t xml:space="preserve">, y </w:t>
      </w:r>
      <w:proofErr w:type="spellStart"/>
      <w:r w:rsidRPr="009824BF">
        <w:rPr>
          <w:rFonts w:ascii="Times New Roman" w:hAnsi="Times New Roman" w:cs="Times New Roman"/>
        </w:rPr>
        <w:t>Deleersnyder</w:t>
      </w:r>
      <w:proofErr w:type="spellEnd"/>
      <w:r w:rsidRPr="009824BF">
        <w:rPr>
          <w:rFonts w:ascii="Times New Roman" w:hAnsi="Times New Roman" w:cs="Times New Roman"/>
        </w:rPr>
        <w:t xml:space="preserve"> 2013).</w:t>
      </w:r>
    </w:p>
  </w:footnote>
  <w:footnote w:id="16">
    <w:p w:rsidR="00876B94" w:rsidRPr="009824BF" w:rsidRDefault="00876B94" w:rsidP="008A62E1">
      <w:pPr>
        <w:tabs>
          <w:tab w:val="left" w:pos="2955"/>
        </w:tabs>
        <w:spacing w:line="240" w:lineRule="auto"/>
        <w:jc w:val="both"/>
        <w:rPr>
          <w:rFonts w:ascii="Times New Roman" w:hAnsi="Times New Roman" w:cs="Times New Roman"/>
          <w:sz w:val="20"/>
          <w:szCs w:val="20"/>
        </w:rPr>
      </w:pPr>
      <w:r w:rsidRPr="009824BF">
        <w:rPr>
          <w:rStyle w:val="Refdenotaalpie"/>
          <w:rFonts w:ascii="Times New Roman" w:hAnsi="Times New Roman" w:cs="Times New Roman"/>
          <w:sz w:val="20"/>
          <w:szCs w:val="20"/>
        </w:rPr>
        <w:footnoteRef/>
      </w:r>
      <w:r w:rsidRPr="009824BF">
        <w:rPr>
          <w:rFonts w:ascii="Times New Roman" w:hAnsi="Times New Roman" w:cs="Times New Roman"/>
          <w:sz w:val="20"/>
          <w:szCs w:val="20"/>
        </w:rPr>
        <w:t xml:space="preserve"> Dicho registro pertenece al Ministerio de Desarrollo Social, la aprobación por parte de la AFIP los habilita a aportar únicamente el 50% del monto correspondiente a las Obras Sociales que corresponda al resto de los </w:t>
      </w:r>
      <w:proofErr w:type="spellStart"/>
      <w:r w:rsidRPr="009824BF">
        <w:rPr>
          <w:rFonts w:ascii="Times New Roman" w:hAnsi="Times New Roman" w:cs="Times New Roman"/>
          <w:sz w:val="20"/>
          <w:szCs w:val="20"/>
        </w:rPr>
        <w:t>monotributistas</w:t>
      </w:r>
      <w:proofErr w:type="spellEnd"/>
      <w:r w:rsidRPr="009824BF">
        <w:rPr>
          <w:rFonts w:ascii="Times New Roman" w:hAnsi="Times New Roman" w:cs="Times New Roman"/>
          <w:sz w:val="20"/>
          <w:szCs w:val="20"/>
        </w:rPr>
        <w:t xml:space="preserve"> para obtener la cobertura, del mismo modo para los miembros de su grupo familiar. El restante 50% es aportado por el Ministerio de Desarrollo Social. En este régimen especial está subsidiado el 100% del pago del componente impositivo y del previsional (</w:t>
      </w:r>
      <w:proofErr w:type="spellStart"/>
      <w:r w:rsidRPr="009824BF">
        <w:rPr>
          <w:rFonts w:ascii="Times New Roman" w:hAnsi="Times New Roman" w:cs="Times New Roman"/>
          <w:sz w:val="20"/>
          <w:szCs w:val="20"/>
        </w:rPr>
        <w:t>Cetrángolo</w:t>
      </w:r>
      <w:proofErr w:type="spellEnd"/>
      <w:r w:rsidRPr="009824BF">
        <w:rPr>
          <w:rFonts w:ascii="Times New Roman" w:hAnsi="Times New Roman" w:cs="Times New Roman"/>
          <w:sz w:val="20"/>
          <w:szCs w:val="20"/>
        </w:rPr>
        <w:t xml:space="preserve"> et al, 2014)</w:t>
      </w:r>
    </w:p>
    <w:p w:rsidR="00876B94" w:rsidRPr="009824BF" w:rsidRDefault="00876B94" w:rsidP="008A62E1">
      <w:pPr>
        <w:pStyle w:val="Textonotapie"/>
      </w:pPr>
    </w:p>
  </w:footnote>
  <w:footnote w:id="17">
    <w:p w:rsidR="00876B94" w:rsidRPr="009824BF" w:rsidRDefault="00876B94" w:rsidP="00A04764">
      <w:pPr>
        <w:tabs>
          <w:tab w:val="left" w:pos="2955"/>
        </w:tabs>
        <w:spacing w:line="240" w:lineRule="auto"/>
        <w:jc w:val="both"/>
        <w:rPr>
          <w:rFonts w:ascii="Times New Roman" w:hAnsi="Times New Roman" w:cs="Times New Roman"/>
          <w:sz w:val="20"/>
          <w:szCs w:val="20"/>
        </w:rPr>
      </w:pPr>
      <w:r w:rsidRPr="009824BF">
        <w:rPr>
          <w:rStyle w:val="Refdenotaalpie"/>
          <w:rFonts w:ascii="Times New Roman" w:hAnsi="Times New Roman" w:cs="Times New Roman"/>
          <w:sz w:val="20"/>
          <w:szCs w:val="20"/>
        </w:rPr>
        <w:footnoteRef/>
      </w:r>
      <w:r w:rsidRPr="009824BF">
        <w:rPr>
          <w:rFonts w:ascii="Times New Roman" w:hAnsi="Times New Roman" w:cs="Times New Roman"/>
          <w:sz w:val="20"/>
          <w:szCs w:val="20"/>
        </w:rPr>
        <w:t xml:space="preserve"> En 2012, el ingreso laboral promedio de los adolescentes y jóvenes bonaerenses de 18 a 24 años era un 39% y 70%, respectivamente, del salario promedio percibido por los adultos (30 a 64 años). (OIT; 2015).</w:t>
      </w:r>
    </w:p>
  </w:footnote>
  <w:footnote w:id="18">
    <w:p w:rsidR="00876B94" w:rsidRPr="009824BF" w:rsidRDefault="00876B94" w:rsidP="00402901">
      <w:pPr>
        <w:pStyle w:val="Textonotapie"/>
        <w:jc w:val="both"/>
        <w:rPr>
          <w:rFonts w:ascii="Times New Roman" w:hAnsi="Times New Roman" w:cs="Times New Roman"/>
        </w:rPr>
      </w:pPr>
      <w:r w:rsidRPr="009824BF">
        <w:rPr>
          <w:rStyle w:val="Refdenotaalpie"/>
          <w:rFonts w:ascii="Times New Roman" w:hAnsi="Times New Roman" w:cs="Times New Roman"/>
        </w:rPr>
        <w:footnoteRef/>
      </w:r>
      <w:r w:rsidRPr="009824BF">
        <w:rPr>
          <w:rFonts w:ascii="Times New Roman" w:hAnsi="Times New Roman" w:cs="Times New Roman"/>
        </w:rPr>
        <w:t xml:space="preserve"> Los ingresos corrientes de la serie 1992-1994-1998-2001-2003 fueron deflactados según el IPC del INDEC, pero para posteriores a 2006 se utilizaron deflactores basados en IPC 7 Provincias y el IPC GB (elaborado por ex técnicos de INDEC). Esta decisión se apoya en la reconocida alteración que sufrió el IPC del INDEC a partir de 2007 (CELS, 2009).</w:t>
      </w:r>
    </w:p>
  </w:footnote>
  <w:footnote w:id="19">
    <w:p w:rsidR="00876B94" w:rsidRPr="009824BF" w:rsidRDefault="00876B94" w:rsidP="000E5B16">
      <w:pPr>
        <w:tabs>
          <w:tab w:val="left" w:pos="2955"/>
        </w:tabs>
        <w:spacing w:line="240" w:lineRule="auto"/>
        <w:jc w:val="both"/>
        <w:rPr>
          <w:rFonts w:ascii="Times New Roman" w:hAnsi="Times New Roman" w:cs="Times New Roman"/>
          <w:sz w:val="20"/>
          <w:szCs w:val="20"/>
        </w:rPr>
      </w:pPr>
      <w:r w:rsidRPr="009824BF">
        <w:rPr>
          <w:rStyle w:val="Refdenotaalpie"/>
          <w:sz w:val="20"/>
          <w:szCs w:val="20"/>
        </w:rPr>
        <w:footnoteRef/>
      </w:r>
      <w:r w:rsidRPr="009824BF">
        <w:rPr>
          <w:sz w:val="20"/>
          <w:szCs w:val="20"/>
        </w:rPr>
        <w:t xml:space="preserve"> </w:t>
      </w:r>
      <w:r w:rsidRPr="009824BF">
        <w:rPr>
          <w:rFonts w:ascii="Times New Roman" w:hAnsi="Times New Roman" w:cs="Times New Roman"/>
          <w:sz w:val="20"/>
          <w:szCs w:val="20"/>
        </w:rPr>
        <w:t>En el año 2009 se lanza la Asignación Universal por Hijo para Protección Social (AUHPS) una medida emblemática en la reconfiguración del Sistema de Seguridad Social y de asistencia social. Esta medida logró extender la asignación familiar por hijo a sectores de la población hasta entonces no cubiertos.</w:t>
      </w:r>
    </w:p>
  </w:footnote>
  <w:footnote w:id="20">
    <w:p w:rsidR="00876B94" w:rsidRPr="009824BF" w:rsidRDefault="00876B94" w:rsidP="007A1149">
      <w:pPr>
        <w:pStyle w:val="Textonotapie"/>
        <w:jc w:val="both"/>
        <w:rPr>
          <w:rFonts w:ascii="Times New Roman" w:hAnsi="Times New Roman" w:cs="Times New Roman"/>
          <w:lang w:val="es-ES"/>
        </w:rPr>
      </w:pPr>
      <w:r w:rsidRPr="009824BF">
        <w:rPr>
          <w:rStyle w:val="Refdenotaalpie"/>
          <w:rFonts w:ascii="Times New Roman" w:hAnsi="Times New Roman" w:cs="Times New Roman"/>
        </w:rPr>
        <w:footnoteRef/>
      </w:r>
      <w:r w:rsidRPr="009824BF">
        <w:rPr>
          <w:rFonts w:ascii="Times New Roman" w:hAnsi="Times New Roman" w:cs="Times New Roman"/>
        </w:rPr>
        <w:t xml:space="preserve"> Es importante destacar aquí que dicha categoría en el sector formal, e incluso distinguiendo por segmentos, presenta poca cantidad de casos, sobre todo en la población joven. El análisis intenta demostrar de todas formas la tendencia en dicha porción del mercado laboral.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94" w:rsidRDefault="00876B94" w:rsidP="00ED5ECC">
    <w:pPr>
      <w:pStyle w:val="Encabezado"/>
      <w:jc w:val="right"/>
    </w:pPr>
  </w:p>
  <w:p w:rsidR="00876B94" w:rsidRDefault="00876B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2632"/>
    <w:multiLevelType w:val="hybridMultilevel"/>
    <w:tmpl w:val="E03017F6"/>
    <w:lvl w:ilvl="0" w:tplc="13088104">
      <w:start w:val="5"/>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B087516"/>
    <w:multiLevelType w:val="hybridMultilevel"/>
    <w:tmpl w:val="331AC7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6C2618"/>
    <w:multiLevelType w:val="hybridMultilevel"/>
    <w:tmpl w:val="780600B2"/>
    <w:lvl w:ilvl="0" w:tplc="C3506F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16CD63BA"/>
    <w:multiLevelType w:val="hybridMultilevel"/>
    <w:tmpl w:val="E6CA8680"/>
    <w:lvl w:ilvl="0" w:tplc="2C0A0001">
      <w:start w:val="1"/>
      <w:numFmt w:val="bullet"/>
      <w:lvlText w:val=""/>
      <w:lvlJc w:val="left"/>
      <w:pPr>
        <w:ind w:left="720" w:hanging="360"/>
      </w:pPr>
      <w:rPr>
        <w:rFonts w:ascii="Symbol" w:hAnsi="Symbol" w:hint="default"/>
      </w:rPr>
    </w:lvl>
    <w:lvl w:ilvl="1" w:tplc="96B07E7A">
      <w:numFmt w:val="bullet"/>
      <w:lvlText w:val="—"/>
      <w:lvlJc w:val="left"/>
      <w:pPr>
        <w:ind w:left="1440" w:hanging="360"/>
      </w:pPr>
      <w:rPr>
        <w:rFonts w:ascii="Times New Roman" w:eastAsiaTheme="minorHAnsi" w:hAnsi="Times New Roman"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9353712"/>
    <w:multiLevelType w:val="hybridMultilevel"/>
    <w:tmpl w:val="E1D2F5B0"/>
    <w:lvl w:ilvl="0" w:tplc="2C0A0001">
      <w:start w:val="1"/>
      <w:numFmt w:val="bullet"/>
      <w:lvlText w:val=""/>
      <w:lvlJc w:val="left"/>
      <w:pPr>
        <w:ind w:left="360" w:hanging="360"/>
      </w:pPr>
      <w:rPr>
        <w:rFonts w:ascii="Symbol" w:hAnsi="Symbol"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nsid w:val="1CAD4C3D"/>
    <w:multiLevelType w:val="hybridMultilevel"/>
    <w:tmpl w:val="FD5C7440"/>
    <w:lvl w:ilvl="0" w:tplc="C1E2A27C">
      <w:start w:val="1"/>
      <w:numFmt w:val="decimal"/>
      <w:lvlText w:val="(%1)"/>
      <w:lvlJc w:val="left"/>
      <w:pPr>
        <w:ind w:left="720" w:hanging="360"/>
      </w:pPr>
      <w:rPr>
        <w:rFonts w:eastAsia="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0CE4595"/>
    <w:multiLevelType w:val="hybridMultilevel"/>
    <w:tmpl w:val="347005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2F42FB4"/>
    <w:multiLevelType w:val="hybridMultilevel"/>
    <w:tmpl w:val="BC769042"/>
    <w:lvl w:ilvl="0" w:tplc="34A2AF9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7AB117C"/>
    <w:multiLevelType w:val="hybridMultilevel"/>
    <w:tmpl w:val="FF68CF30"/>
    <w:lvl w:ilvl="0" w:tplc="ABCE895C">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B290D21"/>
    <w:multiLevelType w:val="hybridMultilevel"/>
    <w:tmpl w:val="354AAB86"/>
    <w:lvl w:ilvl="0" w:tplc="F6D6F9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0490C40"/>
    <w:multiLevelType w:val="hybridMultilevel"/>
    <w:tmpl w:val="33BCFA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31183597"/>
    <w:multiLevelType w:val="hybridMultilevel"/>
    <w:tmpl w:val="FD5C7440"/>
    <w:lvl w:ilvl="0" w:tplc="C1E2A27C">
      <w:start w:val="1"/>
      <w:numFmt w:val="decimal"/>
      <w:lvlText w:val="(%1)"/>
      <w:lvlJc w:val="left"/>
      <w:pPr>
        <w:ind w:left="720" w:hanging="360"/>
      </w:pPr>
      <w:rPr>
        <w:rFonts w:eastAsia="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43E27710"/>
    <w:multiLevelType w:val="hybridMultilevel"/>
    <w:tmpl w:val="5A109C1C"/>
    <w:lvl w:ilvl="0" w:tplc="733C2A0A">
      <w:start w:val="1"/>
      <w:numFmt w:val="decimal"/>
      <w:lvlText w:val="%1."/>
      <w:lvlJc w:val="left"/>
      <w:pPr>
        <w:ind w:left="785" w:hanging="360"/>
      </w:pPr>
      <w:rPr>
        <w:rFonts w:ascii="Times New Roman" w:hAnsi="Times New Roman" w:cs="Times New Roman" w:hint="default"/>
        <w:b/>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nsid w:val="45145C1B"/>
    <w:multiLevelType w:val="multilevel"/>
    <w:tmpl w:val="D4F08890"/>
    <w:lvl w:ilvl="0">
      <w:start w:val="1"/>
      <w:numFmt w:val="decimal"/>
      <w:lvlText w:val="%1."/>
      <w:lvlJc w:val="left"/>
      <w:pPr>
        <w:ind w:left="360" w:hanging="360"/>
      </w:pPr>
      <w:rPr>
        <w:rFonts w:ascii="Times New Roman" w:hAnsi="Times New Roman" w:cs="Times New Roman"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560246F7"/>
    <w:multiLevelType w:val="hybridMultilevel"/>
    <w:tmpl w:val="509CF242"/>
    <w:lvl w:ilvl="0" w:tplc="522E215A">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7CCD0729"/>
    <w:multiLevelType w:val="hybridMultilevel"/>
    <w:tmpl w:val="5A165DF4"/>
    <w:lvl w:ilvl="0" w:tplc="1158B89A">
      <w:start w:val="5"/>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7F604A24"/>
    <w:multiLevelType w:val="hybridMultilevel"/>
    <w:tmpl w:val="A29A8B32"/>
    <w:lvl w:ilvl="0" w:tplc="621C4E70">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num>
  <w:num w:numId="2">
    <w:abstractNumId w:val="14"/>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17"/>
  </w:num>
  <w:num w:numId="14">
    <w:abstractNumId w:val="5"/>
  </w:num>
  <w:num w:numId="15">
    <w:abstractNumId w:val="1"/>
  </w:num>
  <w:num w:numId="16">
    <w:abstractNumId w:val="7"/>
  </w:num>
  <w:num w:numId="17">
    <w:abstractNumId w:val="4"/>
  </w:num>
  <w:num w:numId="18">
    <w:abstractNumId w:val="16"/>
  </w:num>
  <w:num w:numId="19">
    <w:abstractNumId w:val="0"/>
  </w:num>
  <w:num w:numId="20">
    <w:abstractNumId w:val="12"/>
  </w:num>
  <w:num w:numId="21">
    <w:abstractNumId w:val="13"/>
  </w:num>
  <w:num w:numId="22">
    <w:abstractNumId w:val="10"/>
  </w:num>
  <w:num w:numId="23">
    <w:abstractNumId w:val="2"/>
  </w:num>
  <w:num w:numId="24">
    <w:abstractNumId w:val="9"/>
  </w:num>
  <w:num w:numId="25">
    <w:abstractNumId w:val="6"/>
  </w:num>
  <w:num w:numId="26">
    <w:abstractNumId w:val="1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558"/>
    <w:rsid w:val="00000957"/>
    <w:rsid w:val="00015018"/>
    <w:rsid w:val="000153A8"/>
    <w:rsid w:val="0001582F"/>
    <w:rsid w:val="00020770"/>
    <w:rsid w:val="0002274B"/>
    <w:rsid w:val="00023238"/>
    <w:rsid w:val="00025499"/>
    <w:rsid w:val="00036C08"/>
    <w:rsid w:val="00037223"/>
    <w:rsid w:val="00040208"/>
    <w:rsid w:val="00040869"/>
    <w:rsid w:val="000508F6"/>
    <w:rsid w:val="00050DBD"/>
    <w:rsid w:val="00052401"/>
    <w:rsid w:val="00054054"/>
    <w:rsid w:val="00055566"/>
    <w:rsid w:val="00056F42"/>
    <w:rsid w:val="00057D01"/>
    <w:rsid w:val="000608BB"/>
    <w:rsid w:val="00060B49"/>
    <w:rsid w:val="00062011"/>
    <w:rsid w:val="00062720"/>
    <w:rsid w:val="00063C61"/>
    <w:rsid w:val="0007186F"/>
    <w:rsid w:val="00071AF4"/>
    <w:rsid w:val="0007300C"/>
    <w:rsid w:val="000741A5"/>
    <w:rsid w:val="00074614"/>
    <w:rsid w:val="000755E6"/>
    <w:rsid w:val="0008004E"/>
    <w:rsid w:val="00080197"/>
    <w:rsid w:val="00082315"/>
    <w:rsid w:val="000862EB"/>
    <w:rsid w:val="00087A73"/>
    <w:rsid w:val="00092008"/>
    <w:rsid w:val="00092057"/>
    <w:rsid w:val="00093F9A"/>
    <w:rsid w:val="00096097"/>
    <w:rsid w:val="000A7E7F"/>
    <w:rsid w:val="000B05C1"/>
    <w:rsid w:val="000B2E33"/>
    <w:rsid w:val="000B6D86"/>
    <w:rsid w:val="000B724B"/>
    <w:rsid w:val="000B7BF0"/>
    <w:rsid w:val="000C021E"/>
    <w:rsid w:val="000C0411"/>
    <w:rsid w:val="000C2604"/>
    <w:rsid w:val="000C4F16"/>
    <w:rsid w:val="000C610C"/>
    <w:rsid w:val="000C66EE"/>
    <w:rsid w:val="000D4D6C"/>
    <w:rsid w:val="000D507F"/>
    <w:rsid w:val="000D55A1"/>
    <w:rsid w:val="000D6603"/>
    <w:rsid w:val="000E0658"/>
    <w:rsid w:val="000E2C85"/>
    <w:rsid w:val="000E5B16"/>
    <w:rsid w:val="000E61D9"/>
    <w:rsid w:val="000E632A"/>
    <w:rsid w:val="000F02A4"/>
    <w:rsid w:val="000F1557"/>
    <w:rsid w:val="000F4262"/>
    <w:rsid w:val="000F4D66"/>
    <w:rsid w:val="000F6D7C"/>
    <w:rsid w:val="001024F7"/>
    <w:rsid w:val="00102961"/>
    <w:rsid w:val="00102F72"/>
    <w:rsid w:val="00106826"/>
    <w:rsid w:val="00110FA2"/>
    <w:rsid w:val="0011159A"/>
    <w:rsid w:val="001130D2"/>
    <w:rsid w:val="0012228F"/>
    <w:rsid w:val="00124324"/>
    <w:rsid w:val="001243AB"/>
    <w:rsid w:val="00126886"/>
    <w:rsid w:val="00126F1F"/>
    <w:rsid w:val="00127EFC"/>
    <w:rsid w:val="001327D3"/>
    <w:rsid w:val="00137D75"/>
    <w:rsid w:val="0015017B"/>
    <w:rsid w:val="0015082B"/>
    <w:rsid w:val="00152631"/>
    <w:rsid w:val="001529E5"/>
    <w:rsid w:val="00154135"/>
    <w:rsid w:val="00155AAC"/>
    <w:rsid w:val="0016035B"/>
    <w:rsid w:val="001605D0"/>
    <w:rsid w:val="00160E6F"/>
    <w:rsid w:val="001633E4"/>
    <w:rsid w:val="00163E7E"/>
    <w:rsid w:val="00166ADC"/>
    <w:rsid w:val="001673F7"/>
    <w:rsid w:val="00170CE7"/>
    <w:rsid w:val="001717B4"/>
    <w:rsid w:val="001717BC"/>
    <w:rsid w:val="00171BA8"/>
    <w:rsid w:val="00172D4C"/>
    <w:rsid w:val="0017596B"/>
    <w:rsid w:val="0018081C"/>
    <w:rsid w:val="001838E4"/>
    <w:rsid w:val="0018418C"/>
    <w:rsid w:val="00185547"/>
    <w:rsid w:val="00191129"/>
    <w:rsid w:val="00193A8F"/>
    <w:rsid w:val="001941D6"/>
    <w:rsid w:val="001960B9"/>
    <w:rsid w:val="001A1CB8"/>
    <w:rsid w:val="001A468E"/>
    <w:rsid w:val="001A4A9F"/>
    <w:rsid w:val="001B0142"/>
    <w:rsid w:val="001B0C5C"/>
    <w:rsid w:val="001B36FD"/>
    <w:rsid w:val="001B520C"/>
    <w:rsid w:val="001B7D57"/>
    <w:rsid w:val="001C0EB1"/>
    <w:rsid w:val="001C2CFA"/>
    <w:rsid w:val="001D0395"/>
    <w:rsid w:val="001D68DA"/>
    <w:rsid w:val="001D7BD7"/>
    <w:rsid w:val="001E3755"/>
    <w:rsid w:val="001F061C"/>
    <w:rsid w:val="001F20BE"/>
    <w:rsid w:val="001F2B73"/>
    <w:rsid w:val="001F304A"/>
    <w:rsid w:val="001F3519"/>
    <w:rsid w:val="001F4069"/>
    <w:rsid w:val="001F4E56"/>
    <w:rsid w:val="001F7534"/>
    <w:rsid w:val="00202565"/>
    <w:rsid w:val="00202B2A"/>
    <w:rsid w:val="00202EFB"/>
    <w:rsid w:val="002034AD"/>
    <w:rsid w:val="0020489A"/>
    <w:rsid w:val="002101BA"/>
    <w:rsid w:val="0021414D"/>
    <w:rsid w:val="002169F4"/>
    <w:rsid w:val="00222F5A"/>
    <w:rsid w:val="00224440"/>
    <w:rsid w:val="00225FD0"/>
    <w:rsid w:val="0023347E"/>
    <w:rsid w:val="00234FBF"/>
    <w:rsid w:val="002377C4"/>
    <w:rsid w:val="002408A1"/>
    <w:rsid w:val="00242D4E"/>
    <w:rsid w:val="00243F57"/>
    <w:rsid w:val="00247AF9"/>
    <w:rsid w:val="00251338"/>
    <w:rsid w:val="002535D4"/>
    <w:rsid w:val="00254461"/>
    <w:rsid w:val="002545DC"/>
    <w:rsid w:val="00254884"/>
    <w:rsid w:val="00255B24"/>
    <w:rsid w:val="00256DA0"/>
    <w:rsid w:val="002577B8"/>
    <w:rsid w:val="00262BC0"/>
    <w:rsid w:val="0026315A"/>
    <w:rsid w:val="00265E36"/>
    <w:rsid w:val="00267C5F"/>
    <w:rsid w:val="00267EAE"/>
    <w:rsid w:val="002712BE"/>
    <w:rsid w:val="00273933"/>
    <w:rsid w:val="00276087"/>
    <w:rsid w:val="00277C2D"/>
    <w:rsid w:val="002800B5"/>
    <w:rsid w:val="00282A37"/>
    <w:rsid w:val="00283A83"/>
    <w:rsid w:val="0028632A"/>
    <w:rsid w:val="00286E66"/>
    <w:rsid w:val="00287115"/>
    <w:rsid w:val="002873CF"/>
    <w:rsid w:val="00291DCD"/>
    <w:rsid w:val="002966D4"/>
    <w:rsid w:val="002A1E6E"/>
    <w:rsid w:val="002A675B"/>
    <w:rsid w:val="002B05A0"/>
    <w:rsid w:val="002B253A"/>
    <w:rsid w:val="002B290F"/>
    <w:rsid w:val="002B2C42"/>
    <w:rsid w:val="002B4F94"/>
    <w:rsid w:val="002B5BFD"/>
    <w:rsid w:val="002B6D76"/>
    <w:rsid w:val="002C3DED"/>
    <w:rsid w:val="002C4467"/>
    <w:rsid w:val="002C526B"/>
    <w:rsid w:val="002C600D"/>
    <w:rsid w:val="002C7986"/>
    <w:rsid w:val="002D0AE5"/>
    <w:rsid w:val="002D3B25"/>
    <w:rsid w:val="002D3CEF"/>
    <w:rsid w:val="002D5199"/>
    <w:rsid w:val="002E15D4"/>
    <w:rsid w:val="002E2CD2"/>
    <w:rsid w:val="002E7203"/>
    <w:rsid w:val="002E7A60"/>
    <w:rsid w:val="002F3420"/>
    <w:rsid w:val="002F5276"/>
    <w:rsid w:val="002F6FD2"/>
    <w:rsid w:val="003002E2"/>
    <w:rsid w:val="00302F97"/>
    <w:rsid w:val="00304E7A"/>
    <w:rsid w:val="00305CBD"/>
    <w:rsid w:val="0030622E"/>
    <w:rsid w:val="00307A19"/>
    <w:rsid w:val="00310033"/>
    <w:rsid w:val="00310616"/>
    <w:rsid w:val="00312A74"/>
    <w:rsid w:val="00312C87"/>
    <w:rsid w:val="00314F9D"/>
    <w:rsid w:val="00322CF2"/>
    <w:rsid w:val="00323AB5"/>
    <w:rsid w:val="00326D83"/>
    <w:rsid w:val="00327A2E"/>
    <w:rsid w:val="00332A79"/>
    <w:rsid w:val="00335B18"/>
    <w:rsid w:val="00340193"/>
    <w:rsid w:val="00340F0F"/>
    <w:rsid w:val="0034107E"/>
    <w:rsid w:val="00341EE5"/>
    <w:rsid w:val="0034287A"/>
    <w:rsid w:val="003456B2"/>
    <w:rsid w:val="00352093"/>
    <w:rsid w:val="0035407B"/>
    <w:rsid w:val="00355BC2"/>
    <w:rsid w:val="003562A9"/>
    <w:rsid w:val="0035641B"/>
    <w:rsid w:val="00360039"/>
    <w:rsid w:val="0036296E"/>
    <w:rsid w:val="0036346B"/>
    <w:rsid w:val="003650B7"/>
    <w:rsid w:val="003739B7"/>
    <w:rsid w:val="00373F14"/>
    <w:rsid w:val="003803AC"/>
    <w:rsid w:val="00380645"/>
    <w:rsid w:val="00382868"/>
    <w:rsid w:val="00383E44"/>
    <w:rsid w:val="00386AB4"/>
    <w:rsid w:val="00386E0B"/>
    <w:rsid w:val="00390AC3"/>
    <w:rsid w:val="00391578"/>
    <w:rsid w:val="00391B3E"/>
    <w:rsid w:val="00395977"/>
    <w:rsid w:val="00396786"/>
    <w:rsid w:val="003A0054"/>
    <w:rsid w:val="003A36BE"/>
    <w:rsid w:val="003A4BB5"/>
    <w:rsid w:val="003A73DE"/>
    <w:rsid w:val="003A79FA"/>
    <w:rsid w:val="003B3172"/>
    <w:rsid w:val="003B39DF"/>
    <w:rsid w:val="003B4B46"/>
    <w:rsid w:val="003B7AB3"/>
    <w:rsid w:val="003D07F1"/>
    <w:rsid w:val="003D24D1"/>
    <w:rsid w:val="003D28C2"/>
    <w:rsid w:val="003D44ED"/>
    <w:rsid w:val="003D6477"/>
    <w:rsid w:val="003E007D"/>
    <w:rsid w:val="003E328F"/>
    <w:rsid w:val="003E3AC7"/>
    <w:rsid w:val="003E3D00"/>
    <w:rsid w:val="003E4377"/>
    <w:rsid w:val="003E6D13"/>
    <w:rsid w:val="003F1483"/>
    <w:rsid w:val="003F6387"/>
    <w:rsid w:val="00400524"/>
    <w:rsid w:val="00402901"/>
    <w:rsid w:val="00403A17"/>
    <w:rsid w:val="00404D15"/>
    <w:rsid w:val="00405279"/>
    <w:rsid w:val="0040574C"/>
    <w:rsid w:val="00410D3B"/>
    <w:rsid w:val="00417916"/>
    <w:rsid w:val="00417F96"/>
    <w:rsid w:val="00424100"/>
    <w:rsid w:val="004258E5"/>
    <w:rsid w:val="0042651E"/>
    <w:rsid w:val="00427C19"/>
    <w:rsid w:val="0043050B"/>
    <w:rsid w:val="004343D8"/>
    <w:rsid w:val="004376B5"/>
    <w:rsid w:val="004400F1"/>
    <w:rsid w:val="00441931"/>
    <w:rsid w:val="00443EB9"/>
    <w:rsid w:val="00446D26"/>
    <w:rsid w:val="004568E0"/>
    <w:rsid w:val="00460D04"/>
    <w:rsid w:val="00463750"/>
    <w:rsid w:val="00465FEC"/>
    <w:rsid w:val="004678DC"/>
    <w:rsid w:val="00470558"/>
    <w:rsid w:val="00472C4A"/>
    <w:rsid w:val="00472EAF"/>
    <w:rsid w:val="00474DBB"/>
    <w:rsid w:val="0047634A"/>
    <w:rsid w:val="004828B8"/>
    <w:rsid w:val="00483F4D"/>
    <w:rsid w:val="00484FB9"/>
    <w:rsid w:val="004865BB"/>
    <w:rsid w:val="00492461"/>
    <w:rsid w:val="00492B40"/>
    <w:rsid w:val="004952C0"/>
    <w:rsid w:val="004965B1"/>
    <w:rsid w:val="004A0800"/>
    <w:rsid w:val="004A094E"/>
    <w:rsid w:val="004A262A"/>
    <w:rsid w:val="004A5697"/>
    <w:rsid w:val="004A6450"/>
    <w:rsid w:val="004B3FDA"/>
    <w:rsid w:val="004B4451"/>
    <w:rsid w:val="004B4980"/>
    <w:rsid w:val="004B70C3"/>
    <w:rsid w:val="004B7B3A"/>
    <w:rsid w:val="004C1FB9"/>
    <w:rsid w:val="004C508A"/>
    <w:rsid w:val="004D06DD"/>
    <w:rsid w:val="004D1143"/>
    <w:rsid w:val="004D1645"/>
    <w:rsid w:val="004D3A05"/>
    <w:rsid w:val="004D3FA2"/>
    <w:rsid w:val="004D6034"/>
    <w:rsid w:val="004E0340"/>
    <w:rsid w:val="004E1C50"/>
    <w:rsid w:val="004E3D07"/>
    <w:rsid w:val="004E47BA"/>
    <w:rsid w:val="004E547E"/>
    <w:rsid w:val="004E54D5"/>
    <w:rsid w:val="004E77A6"/>
    <w:rsid w:val="004F1AC6"/>
    <w:rsid w:val="004F4C30"/>
    <w:rsid w:val="004F732C"/>
    <w:rsid w:val="00501693"/>
    <w:rsid w:val="0050263A"/>
    <w:rsid w:val="00504120"/>
    <w:rsid w:val="00513210"/>
    <w:rsid w:val="00513E8C"/>
    <w:rsid w:val="00517C58"/>
    <w:rsid w:val="00520DAB"/>
    <w:rsid w:val="00523E72"/>
    <w:rsid w:val="00525610"/>
    <w:rsid w:val="00525768"/>
    <w:rsid w:val="005313E0"/>
    <w:rsid w:val="005316BB"/>
    <w:rsid w:val="005335D1"/>
    <w:rsid w:val="00535282"/>
    <w:rsid w:val="00536203"/>
    <w:rsid w:val="00537CCC"/>
    <w:rsid w:val="0054053B"/>
    <w:rsid w:val="00540EA1"/>
    <w:rsid w:val="005435F0"/>
    <w:rsid w:val="005450DC"/>
    <w:rsid w:val="005506FA"/>
    <w:rsid w:val="00552052"/>
    <w:rsid w:val="00555EC9"/>
    <w:rsid w:val="00556573"/>
    <w:rsid w:val="00556981"/>
    <w:rsid w:val="00556F7A"/>
    <w:rsid w:val="00561D93"/>
    <w:rsid w:val="0056274E"/>
    <w:rsid w:val="00563885"/>
    <w:rsid w:val="00567EA4"/>
    <w:rsid w:val="00570703"/>
    <w:rsid w:val="00582C9A"/>
    <w:rsid w:val="00583B1A"/>
    <w:rsid w:val="00586BA4"/>
    <w:rsid w:val="0059106D"/>
    <w:rsid w:val="0059446A"/>
    <w:rsid w:val="005958EB"/>
    <w:rsid w:val="005A4D41"/>
    <w:rsid w:val="005A74F2"/>
    <w:rsid w:val="005A7ABD"/>
    <w:rsid w:val="005B128F"/>
    <w:rsid w:val="005B2BC7"/>
    <w:rsid w:val="005B2F0D"/>
    <w:rsid w:val="005B333B"/>
    <w:rsid w:val="005B57A9"/>
    <w:rsid w:val="005C2527"/>
    <w:rsid w:val="005C2BDC"/>
    <w:rsid w:val="005C4368"/>
    <w:rsid w:val="005D4543"/>
    <w:rsid w:val="005D596F"/>
    <w:rsid w:val="005D60EB"/>
    <w:rsid w:val="005D65D1"/>
    <w:rsid w:val="005E0320"/>
    <w:rsid w:val="005E40BC"/>
    <w:rsid w:val="005E499B"/>
    <w:rsid w:val="005F3411"/>
    <w:rsid w:val="005F48A5"/>
    <w:rsid w:val="005F4CB1"/>
    <w:rsid w:val="005F54FF"/>
    <w:rsid w:val="005F6A6F"/>
    <w:rsid w:val="005F6AE8"/>
    <w:rsid w:val="005F7BA2"/>
    <w:rsid w:val="005F7FFA"/>
    <w:rsid w:val="00601D65"/>
    <w:rsid w:val="00603377"/>
    <w:rsid w:val="006045B7"/>
    <w:rsid w:val="006056B2"/>
    <w:rsid w:val="006070FC"/>
    <w:rsid w:val="00611FF3"/>
    <w:rsid w:val="006136FB"/>
    <w:rsid w:val="00614F87"/>
    <w:rsid w:val="006155AA"/>
    <w:rsid w:val="006172A1"/>
    <w:rsid w:val="00621C0E"/>
    <w:rsid w:val="00622C7F"/>
    <w:rsid w:val="00625CE7"/>
    <w:rsid w:val="00626785"/>
    <w:rsid w:val="00626EFF"/>
    <w:rsid w:val="00632083"/>
    <w:rsid w:val="00635F24"/>
    <w:rsid w:val="00641F53"/>
    <w:rsid w:val="00642F2D"/>
    <w:rsid w:val="006459EB"/>
    <w:rsid w:val="00645A54"/>
    <w:rsid w:val="00647C21"/>
    <w:rsid w:val="006574D7"/>
    <w:rsid w:val="00660737"/>
    <w:rsid w:val="00660A88"/>
    <w:rsid w:val="0066563C"/>
    <w:rsid w:val="006656F5"/>
    <w:rsid w:val="00666509"/>
    <w:rsid w:val="00667276"/>
    <w:rsid w:val="006704CB"/>
    <w:rsid w:val="006735BB"/>
    <w:rsid w:val="00673E16"/>
    <w:rsid w:val="00674700"/>
    <w:rsid w:val="00675DE6"/>
    <w:rsid w:val="00680F25"/>
    <w:rsid w:val="006822A4"/>
    <w:rsid w:val="0068241F"/>
    <w:rsid w:val="00686C85"/>
    <w:rsid w:val="006873CF"/>
    <w:rsid w:val="006948BB"/>
    <w:rsid w:val="0069581B"/>
    <w:rsid w:val="00695C78"/>
    <w:rsid w:val="006A026A"/>
    <w:rsid w:val="006A23C8"/>
    <w:rsid w:val="006A2484"/>
    <w:rsid w:val="006A348C"/>
    <w:rsid w:val="006A4D7F"/>
    <w:rsid w:val="006A5DA4"/>
    <w:rsid w:val="006A62D8"/>
    <w:rsid w:val="006B5D47"/>
    <w:rsid w:val="006C0F44"/>
    <w:rsid w:val="006C3A9B"/>
    <w:rsid w:val="006D075B"/>
    <w:rsid w:val="006D200D"/>
    <w:rsid w:val="006D3DDA"/>
    <w:rsid w:val="006E1987"/>
    <w:rsid w:val="006E28D3"/>
    <w:rsid w:val="006E3224"/>
    <w:rsid w:val="006F0B2C"/>
    <w:rsid w:val="006F34CA"/>
    <w:rsid w:val="006F51D7"/>
    <w:rsid w:val="006F598A"/>
    <w:rsid w:val="006F7213"/>
    <w:rsid w:val="006F79A4"/>
    <w:rsid w:val="006F79D5"/>
    <w:rsid w:val="006F7FC2"/>
    <w:rsid w:val="0070692F"/>
    <w:rsid w:val="00711B0F"/>
    <w:rsid w:val="00716E8B"/>
    <w:rsid w:val="007236CE"/>
    <w:rsid w:val="007237E4"/>
    <w:rsid w:val="00725BD5"/>
    <w:rsid w:val="00727B95"/>
    <w:rsid w:val="00731DAB"/>
    <w:rsid w:val="0073360D"/>
    <w:rsid w:val="00735847"/>
    <w:rsid w:val="0073604F"/>
    <w:rsid w:val="00737B27"/>
    <w:rsid w:val="00740978"/>
    <w:rsid w:val="00744096"/>
    <w:rsid w:val="00745208"/>
    <w:rsid w:val="00746ECE"/>
    <w:rsid w:val="00747908"/>
    <w:rsid w:val="00751883"/>
    <w:rsid w:val="00752BB9"/>
    <w:rsid w:val="00753C56"/>
    <w:rsid w:val="00762647"/>
    <w:rsid w:val="007631C2"/>
    <w:rsid w:val="00764725"/>
    <w:rsid w:val="00767DEC"/>
    <w:rsid w:val="007720D4"/>
    <w:rsid w:val="0077776C"/>
    <w:rsid w:val="00777D95"/>
    <w:rsid w:val="00780CF6"/>
    <w:rsid w:val="0078526F"/>
    <w:rsid w:val="007927FA"/>
    <w:rsid w:val="00794BD7"/>
    <w:rsid w:val="0079615F"/>
    <w:rsid w:val="007A0514"/>
    <w:rsid w:val="007A0E74"/>
    <w:rsid w:val="007A1149"/>
    <w:rsid w:val="007A1F3B"/>
    <w:rsid w:val="007A24B1"/>
    <w:rsid w:val="007A40F6"/>
    <w:rsid w:val="007A5230"/>
    <w:rsid w:val="007A646F"/>
    <w:rsid w:val="007A6722"/>
    <w:rsid w:val="007B0447"/>
    <w:rsid w:val="007B12B1"/>
    <w:rsid w:val="007B2614"/>
    <w:rsid w:val="007B6F73"/>
    <w:rsid w:val="007B7B73"/>
    <w:rsid w:val="007C0FDA"/>
    <w:rsid w:val="007C29C2"/>
    <w:rsid w:val="007C71B8"/>
    <w:rsid w:val="007D110B"/>
    <w:rsid w:val="007D1290"/>
    <w:rsid w:val="007D3231"/>
    <w:rsid w:val="007D402C"/>
    <w:rsid w:val="007D4386"/>
    <w:rsid w:val="007D5608"/>
    <w:rsid w:val="007E2640"/>
    <w:rsid w:val="007E4E96"/>
    <w:rsid w:val="007E6C98"/>
    <w:rsid w:val="007E6E0A"/>
    <w:rsid w:val="007E74C6"/>
    <w:rsid w:val="007F0420"/>
    <w:rsid w:val="007F253B"/>
    <w:rsid w:val="007F6787"/>
    <w:rsid w:val="007F7344"/>
    <w:rsid w:val="007F7AA0"/>
    <w:rsid w:val="00801755"/>
    <w:rsid w:val="00801D5D"/>
    <w:rsid w:val="00801EA7"/>
    <w:rsid w:val="00804C75"/>
    <w:rsid w:val="008058EA"/>
    <w:rsid w:val="008072A9"/>
    <w:rsid w:val="008116C8"/>
    <w:rsid w:val="008160FC"/>
    <w:rsid w:val="00822870"/>
    <w:rsid w:val="008240B4"/>
    <w:rsid w:val="00824254"/>
    <w:rsid w:val="00833E4A"/>
    <w:rsid w:val="00834F20"/>
    <w:rsid w:val="00835466"/>
    <w:rsid w:val="00836CFF"/>
    <w:rsid w:val="00850C38"/>
    <w:rsid w:val="0085340E"/>
    <w:rsid w:val="00853B98"/>
    <w:rsid w:val="00854746"/>
    <w:rsid w:val="00854934"/>
    <w:rsid w:val="00855808"/>
    <w:rsid w:val="00856C70"/>
    <w:rsid w:val="008575DC"/>
    <w:rsid w:val="00864F6C"/>
    <w:rsid w:val="00867EFE"/>
    <w:rsid w:val="0087015B"/>
    <w:rsid w:val="008755BA"/>
    <w:rsid w:val="00876016"/>
    <w:rsid w:val="00876B94"/>
    <w:rsid w:val="008819B7"/>
    <w:rsid w:val="00882387"/>
    <w:rsid w:val="00882F0F"/>
    <w:rsid w:val="00883D94"/>
    <w:rsid w:val="008874EB"/>
    <w:rsid w:val="00890DF7"/>
    <w:rsid w:val="00892740"/>
    <w:rsid w:val="00892BD3"/>
    <w:rsid w:val="00894A4B"/>
    <w:rsid w:val="00897494"/>
    <w:rsid w:val="00897658"/>
    <w:rsid w:val="008A04A8"/>
    <w:rsid w:val="008A1D85"/>
    <w:rsid w:val="008A43D2"/>
    <w:rsid w:val="008A5D62"/>
    <w:rsid w:val="008A62E1"/>
    <w:rsid w:val="008A64A7"/>
    <w:rsid w:val="008B04AD"/>
    <w:rsid w:val="008B15AD"/>
    <w:rsid w:val="008B723B"/>
    <w:rsid w:val="008B78BF"/>
    <w:rsid w:val="008C10A8"/>
    <w:rsid w:val="008C17FC"/>
    <w:rsid w:val="008C4038"/>
    <w:rsid w:val="008C43B9"/>
    <w:rsid w:val="008C6A4E"/>
    <w:rsid w:val="008D1E1C"/>
    <w:rsid w:val="008D333F"/>
    <w:rsid w:val="008D7B5E"/>
    <w:rsid w:val="008E4C01"/>
    <w:rsid w:val="008F1D1A"/>
    <w:rsid w:val="008F2577"/>
    <w:rsid w:val="008F42CC"/>
    <w:rsid w:val="008F4A46"/>
    <w:rsid w:val="008F7188"/>
    <w:rsid w:val="00900E49"/>
    <w:rsid w:val="0091002F"/>
    <w:rsid w:val="00912252"/>
    <w:rsid w:val="00912413"/>
    <w:rsid w:val="009144A3"/>
    <w:rsid w:val="00914F1B"/>
    <w:rsid w:val="00915248"/>
    <w:rsid w:val="009160D6"/>
    <w:rsid w:val="00920679"/>
    <w:rsid w:val="009251A1"/>
    <w:rsid w:val="00925C89"/>
    <w:rsid w:val="00927DDB"/>
    <w:rsid w:val="009310D5"/>
    <w:rsid w:val="00931372"/>
    <w:rsid w:val="00931D52"/>
    <w:rsid w:val="009321DE"/>
    <w:rsid w:val="00935200"/>
    <w:rsid w:val="0093634B"/>
    <w:rsid w:val="009408A4"/>
    <w:rsid w:val="00942374"/>
    <w:rsid w:val="0094307A"/>
    <w:rsid w:val="0094479A"/>
    <w:rsid w:val="00946C67"/>
    <w:rsid w:val="0095141C"/>
    <w:rsid w:val="009526AF"/>
    <w:rsid w:val="00963EDF"/>
    <w:rsid w:val="00965205"/>
    <w:rsid w:val="00966A97"/>
    <w:rsid w:val="00970006"/>
    <w:rsid w:val="00973479"/>
    <w:rsid w:val="009766CD"/>
    <w:rsid w:val="009772E9"/>
    <w:rsid w:val="009808B1"/>
    <w:rsid w:val="00981148"/>
    <w:rsid w:val="009824BF"/>
    <w:rsid w:val="00982706"/>
    <w:rsid w:val="00983163"/>
    <w:rsid w:val="00984012"/>
    <w:rsid w:val="009842A8"/>
    <w:rsid w:val="009903A7"/>
    <w:rsid w:val="009956F2"/>
    <w:rsid w:val="0099597E"/>
    <w:rsid w:val="00995BC8"/>
    <w:rsid w:val="00996B6C"/>
    <w:rsid w:val="009A1EE1"/>
    <w:rsid w:val="009A2D1C"/>
    <w:rsid w:val="009A6262"/>
    <w:rsid w:val="009B4EB0"/>
    <w:rsid w:val="009B6ED3"/>
    <w:rsid w:val="009B7C23"/>
    <w:rsid w:val="009C2E82"/>
    <w:rsid w:val="009C3F06"/>
    <w:rsid w:val="009D32B0"/>
    <w:rsid w:val="009D4505"/>
    <w:rsid w:val="009D4AD9"/>
    <w:rsid w:val="009D588E"/>
    <w:rsid w:val="009D5F30"/>
    <w:rsid w:val="009D6456"/>
    <w:rsid w:val="009D7CB5"/>
    <w:rsid w:val="009E32BF"/>
    <w:rsid w:val="009E4C47"/>
    <w:rsid w:val="009E757A"/>
    <w:rsid w:val="009E7AC1"/>
    <w:rsid w:val="009F1B1C"/>
    <w:rsid w:val="009F4765"/>
    <w:rsid w:val="00A01660"/>
    <w:rsid w:val="00A0177A"/>
    <w:rsid w:val="00A034A9"/>
    <w:rsid w:val="00A034F2"/>
    <w:rsid w:val="00A04367"/>
    <w:rsid w:val="00A04764"/>
    <w:rsid w:val="00A106BF"/>
    <w:rsid w:val="00A123DE"/>
    <w:rsid w:val="00A15C37"/>
    <w:rsid w:val="00A15DC3"/>
    <w:rsid w:val="00A216B5"/>
    <w:rsid w:val="00A24727"/>
    <w:rsid w:val="00A34574"/>
    <w:rsid w:val="00A35C7C"/>
    <w:rsid w:val="00A367A8"/>
    <w:rsid w:val="00A40F3C"/>
    <w:rsid w:val="00A440F6"/>
    <w:rsid w:val="00A4697B"/>
    <w:rsid w:val="00A52CA1"/>
    <w:rsid w:val="00A53783"/>
    <w:rsid w:val="00A56A07"/>
    <w:rsid w:val="00A56B1B"/>
    <w:rsid w:val="00A62050"/>
    <w:rsid w:val="00A6420F"/>
    <w:rsid w:val="00A64ACC"/>
    <w:rsid w:val="00A64EFA"/>
    <w:rsid w:val="00A6639C"/>
    <w:rsid w:val="00A67CB1"/>
    <w:rsid w:val="00A70933"/>
    <w:rsid w:val="00A71CB7"/>
    <w:rsid w:val="00A75AF0"/>
    <w:rsid w:val="00A96721"/>
    <w:rsid w:val="00AA2161"/>
    <w:rsid w:val="00AA2BDD"/>
    <w:rsid w:val="00AA5C6D"/>
    <w:rsid w:val="00AB0B49"/>
    <w:rsid w:val="00AB0E38"/>
    <w:rsid w:val="00AB2F86"/>
    <w:rsid w:val="00AB7770"/>
    <w:rsid w:val="00AC0753"/>
    <w:rsid w:val="00AC23AE"/>
    <w:rsid w:val="00AC490B"/>
    <w:rsid w:val="00AC4DC8"/>
    <w:rsid w:val="00AC4FE1"/>
    <w:rsid w:val="00AC709C"/>
    <w:rsid w:val="00AD14DE"/>
    <w:rsid w:val="00AD3BB5"/>
    <w:rsid w:val="00AD6C3F"/>
    <w:rsid w:val="00AD740E"/>
    <w:rsid w:val="00AD7974"/>
    <w:rsid w:val="00AE15EC"/>
    <w:rsid w:val="00AE2572"/>
    <w:rsid w:val="00AE2E8A"/>
    <w:rsid w:val="00AE34CD"/>
    <w:rsid w:val="00AE6206"/>
    <w:rsid w:val="00AE7558"/>
    <w:rsid w:val="00AE7D3F"/>
    <w:rsid w:val="00AF1E33"/>
    <w:rsid w:val="00AF4B68"/>
    <w:rsid w:val="00AF6A47"/>
    <w:rsid w:val="00AF7402"/>
    <w:rsid w:val="00B00C61"/>
    <w:rsid w:val="00B015BC"/>
    <w:rsid w:val="00B02770"/>
    <w:rsid w:val="00B04EF3"/>
    <w:rsid w:val="00B07870"/>
    <w:rsid w:val="00B07B02"/>
    <w:rsid w:val="00B10201"/>
    <w:rsid w:val="00B120F2"/>
    <w:rsid w:val="00B12320"/>
    <w:rsid w:val="00B14171"/>
    <w:rsid w:val="00B14D0B"/>
    <w:rsid w:val="00B1577E"/>
    <w:rsid w:val="00B1745C"/>
    <w:rsid w:val="00B216A9"/>
    <w:rsid w:val="00B23682"/>
    <w:rsid w:val="00B27AD8"/>
    <w:rsid w:val="00B300EB"/>
    <w:rsid w:val="00B3022F"/>
    <w:rsid w:val="00B307E4"/>
    <w:rsid w:val="00B309D7"/>
    <w:rsid w:val="00B3445A"/>
    <w:rsid w:val="00B355C8"/>
    <w:rsid w:val="00B37CB2"/>
    <w:rsid w:val="00B41809"/>
    <w:rsid w:val="00B42AC3"/>
    <w:rsid w:val="00B444F0"/>
    <w:rsid w:val="00B453DD"/>
    <w:rsid w:val="00B457FD"/>
    <w:rsid w:val="00B50410"/>
    <w:rsid w:val="00B566AA"/>
    <w:rsid w:val="00B61315"/>
    <w:rsid w:val="00B61DEA"/>
    <w:rsid w:val="00B61DF8"/>
    <w:rsid w:val="00B6293C"/>
    <w:rsid w:val="00B64340"/>
    <w:rsid w:val="00B67155"/>
    <w:rsid w:val="00B70FC7"/>
    <w:rsid w:val="00B72E66"/>
    <w:rsid w:val="00B810A4"/>
    <w:rsid w:val="00B8260E"/>
    <w:rsid w:val="00B826F5"/>
    <w:rsid w:val="00B868B6"/>
    <w:rsid w:val="00B93BBF"/>
    <w:rsid w:val="00B946B8"/>
    <w:rsid w:val="00B97E52"/>
    <w:rsid w:val="00BA3189"/>
    <w:rsid w:val="00BA3AB4"/>
    <w:rsid w:val="00BB1777"/>
    <w:rsid w:val="00BB5E81"/>
    <w:rsid w:val="00BB6242"/>
    <w:rsid w:val="00BB6841"/>
    <w:rsid w:val="00BB70B3"/>
    <w:rsid w:val="00BC6121"/>
    <w:rsid w:val="00BC7993"/>
    <w:rsid w:val="00BD04B2"/>
    <w:rsid w:val="00BD12BE"/>
    <w:rsid w:val="00BD3877"/>
    <w:rsid w:val="00BE0194"/>
    <w:rsid w:val="00BE192C"/>
    <w:rsid w:val="00BE2170"/>
    <w:rsid w:val="00BE28DA"/>
    <w:rsid w:val="00BE3BEE"/>
    <w:rsid w:val="00BE5F78"/>
    <w:rsid w:val="00BE6388"/>
    <w:rsid w:val="00BF0AD9"/>
    <w:rsid w:val="00BF46E5"/>
    <w:rsid w:val="00C00CF6"/>
    <w:rsid w:val="00C027FE"/>
    <w:rsid w:val="00C0566F"/>
    <w:rsid w:val="00C05AF6"/>
    <w:rsid w:val="00C07349"/>
    <w:rsid w:val="00C16FDF"/>
    <w:rsid w:val="00C27004"/>
    <w:rsid w:val="00C30320"/>
    <w:rsid w:val="00C30519"/>
    <w:rsid w:val="00C30886"/>
    <w:rsid w:val="00C32C21"/>
    <w:rsid w:val="00C3482D"/>
    <w:rsid w:val="00C41094"/>
    <w:rsid w:val="00C41DCF"/>
    <w:rsid w:val="00C45B09"/>
    <w:rsid w:val="00C4714D"/>
    <w:rsid w:val="00C50593"/>
    <w:rsid w:val="00C52F11"/>
    <w:rsid w:val="00C53B5D"/>
    <w:rsid w:val="00C54227"/>
    <w:rsid w:val="00C57E4F"/>
    <w:rsid w:val="00C57E55"/>
    <w:rsid w:val="00C61368"/>
    <w:rsid w:val="00C62A6C"/>
    <w:rsid w:val="00C62BDE"/>
    <w:rsid w:val="00C63878"/>
    <w:rsid w:val="00C64D32"/>
    <w:rsid w:val="00C65C11"/>
    <w:rsid w:val="00C704FF"/>
    <w:rsid w:val="00C70654"/>
    <w:rsid w:val="00C709D6"/>
    <w:rsid w:val="00C74540"/>
    <w:rsid w:val="00C920C3"/>
    <w:rsid w:val="00CA07CB"/>
    <w:rsid w:val="00CA088A"/>
    <w:rsid w:val="00CA25A3"/>
    <w:rsid w:val="00CA7504"/>
    <w:rsid w:val="00CA7AD9"/>
    <w:rsid w:val="00CB300F"/>
    <w:rsid w:val="00CC3530"/>
    <w:rsid w:val="00CC54FC"/>
    <w:rsid w:val="00CC7605"/>
    <w:rsid w:val="00CD20BF"/>
    <w:rsid w:val="00CE00A1"/>
    <w:rsid w:val="00CE351E"/>
    <w:rsid w:val="00CE5273"/>
    <w:rsid w:val="00CF0F49"/>
    <w:rsid w:val="00CF1C50"/>
    <w:rsid w:val="00CF2C14"/>
    <w:rsid w:val="00CF5655"/>
    <w:rsid w:val="00D02409"/>
    <w:rsid w:val="00D05345"/>
    <w:rsid w:val="00D06763"/>
    <w:rsid w:val="00D06BA7"/>
    <w:rsid w:val="00D070A3"/>
    <w:rsid w:val="00D07995"/>
    <w:rsid w:val="00D07EBA"/>
    <w:rsid w:val="00D13BC3"/>
    <w:rsid w:val="00D13F0B"/>
    <w:rsid w:val="00D17373"/>
    <w:rsid w:val="00D17686"/>
    <w:rsid w:val="00D31547"/>
    <w:rsid w:val="00D317FA"/>
    <w:rsid w:val="00D318AF"/>
    <w:rsid w:val="00D33C5D"/>
    <w:rsid w:val="00D33CB8"/>
    <w:rsid w:val="00D349C4"/>
    <w:rsid w:val="00D403D6"/>
    <w:rsid w:val="00D43F37"/>
    <w:rsid w:val="00D55840"/>
    <w:rsid w:val="00D56AA7"/>
    <w:rsid w:val="00D600F4"/>
    <w:rsid w:val="00D61AA0"/>
    <w:rsid w:val="00D6261C"/>
    <w:rsid w:val="00D626B0"/>
    <w:rsid w:val="00D647F0"/>
    <w:rsid w:val="00D64D59"/>
    <w:rsid w:val="00D737E1"/>
    <w:rsid w:val="00D74F9F"/>
    <w:rsid w:val="00D77087"/>
    <w:rsid w:val="00D86B88"/>
    <w:rsid w:val="00D87005"/>
    <w:rsid w:val="00D91569"/>
    <w:rsid w:val="00D91F3F"/>
    <w:rsid w:val="00D94465"/>
    <w:rsid w:val="00DA2F4E"/>
    <w:rsid w:val="00DA6AE2"/>
    <w:rsid w:val="00DA6B00"/>
    <w:rsid w:val="00DB4C58"/>
    <w:rsid w:val="00DB54A4"/>
    <w:rsid w:val="00DB6BC3"/>
    <w:rsid w:val="00DC19D9"/>
    <w:rsid w:val="00DC2DC6"/>
    <w:rsid w:val="00DC4132"/>
    <w:rsid w:val="00DC491D"/>
    <w:rsid w:val="00DD146A"/>
    <w:rsid w:val="00DD3842"/>
    <w:rsid w:val="00DD3FAC"/>
    <w:rsid w:val="00DD5671"/>
    <w:rsid w:val="00DE2772"/>
    <w:rsid w:val="00DE2946"/>
    <w:rsid w:val="00DE520D"/>
    <w:rsid w:val="00DE5F5D"/>
    <w:rsid w:val="00DF055D"/>
    <w:rsid w:val="00DF4636"/>
    <w:rsid w:val="00DF4B7F"/>
    <w:rsid w:val="00DF4FD6"/>
    <w:rsid w:val="00E048B8"/>
    <w:rsid w:val="00E07239"/>
    <w:rsid w:val="00E106C1"/>
    <w:rsid w:val="00E12C0E"/>
    <w:rsid w:val="00E15976"/>
    <w:rsid w:val="00E2252E"/>
    <w:rsid w:val="00E22D9F"/>
    <w:rsid w:val="00E22DB3"/>
    <w:rsid w:val="00E326DB"/>
    <w:rsid w:val="00E37196"/>
    <w:rsid w:val="00E423CC"/>
    <w:rsid w:val="00E47010"/>
    <w:rsid w:val="00E47469"/>
    <w:rsid w:val="00E5011B"/>
    <w:rsid w:val="00E50CDB"/>
    <w:rsid w:val="00E54F71"/>
    <w:rsid w:val="00E70296"/>
    <w:rsid w:val="00E704AC"/>
    <w:rsid w:val="00E72C88"/>
    <w:rsid w:val="00E72CFD"/>
    <w:rsid w:val="00E7617C"/>
    <w:rsid w:val="00E82099"/>
    <w:rsid w:val="00E82A78"/>
    <w:rsid w:val="00E8494C"/>
    <w:rsid w:val="00E85958"/>
    <w:rsid w:val="00E915FE"/>
    <w:rsid w:val="00E926D4"/>
    <w:rsid w:val="00E94832"/>
    <w:rsid w:val="00E94C37"/>
    <w:rsid w:val="00E95BC6"/>
    <w:rsid w:val="00E9775B"/>
    <w:rsid w:val="00EA0194"/>
    <w:rsid w:val="00EA1E7E"/>
    <w:rsid w:val="00EA4D75"/>
    <w:rsid w:val="00EA51B2"/>
    <w:rsid w:val="00EA5250"/>
    <w:rsid w:val="00EA653D"/>
    <w:rsid w:val="00EA7FE3"/>
    <w:rsid w:val="00EB1E97"/>
    <w:rsid w:val="00EB1ED6"/>
    <w:rsid w:val="00EB7993"/>
    <w:rsid w:val="00EB7A80"/>
    <w:rsid w:val="00EC1637"/>
    <w:rsid w:val="00EC3B7C"/>
    <w:rsid w:val="00EC5034"/>
    <w:rsid w:val="00ED21D2"/>
    <w:rsid w:val="00ED4111"/>
    <w:rsid w:val="00ED5ECC"/>
    <w:rsid w:val="00ED6963"/>
    <w:rsid w:val="00EE1D5E"/>
    <w:rsid w:val="00EE3B39"/>
    <w:rsid w:val="00EE3E58"/>
    <w:rsid w:val="00EF25D2"/>
    <w:rsid w:val="00EF44EC"/>
    <w:rsid w:val="00F0547B"/>
    <w:rsid w:val="00F069B9"/>
    <w:rsid w:val="00F11F31"/>
    <w:rsid w:val="00F12721"/>
    <w:rsid w:val="00F231E9"/>
    <w:rsid w:val="00F23718"/>
    <w:rsid w:val="00F251CC"/>
    <w:rsid w:val="00F25E33"/>
    <w:rsid w:val="00F30117"/>
    <w:rsid w:val="00F3113B"/>
    <w:rsid w:val="00F31AD7"/>
    <w:rsid w:val="00F32251"/>
    <w:rsid w:val="00F368E8"/>
    <w:rsid w:val="00F4092D"/>
    <w:rsid w:val="00F46A4E"/>
    <w:rsid w:val="00F52F59"/>
    <w:rsid w:val="00F53551"/>
    <w:rsid w:val="00F53F63"/>
    <w:rsid w:val="00F55BC7"/>
    <w:rsid w:val="00F5610E"/>
    <w:rsid w:val="00F57F2B"/>
    <w:rsid w:val="00F610AF"/>
    <w:rsid w:val="00F63F14"/>
    <w:rsid w:val="00F6761C"/>
    <w:rsid w:val="00F6791B"/>
    <w:rsid w:val="00F73BDF"/>
    <w:rsid w:val="00F76030"/>
    <w:rsid w:val="00F803BE"/>
    <w:rsid w:val="00F803FB"/>
    <w:rsid w:val="00F83418"/>
    <w:rsid w:val="00F8438A"/>
    <w:rsid w:val="00F86BDC"/>
    <w:rsid w:val="00F90BEC"/>
    <w:rsid w:val="00F9159F"/>
    <w:rsid w:val="00F94119"/>
    <w:rsid w:val="00F94363"/>
    <w:rsid w:val="00F9463F"/>
    <w:rsid w:val="00F953EE"/>
    <w:rsid w:val="00F96AC9"/>
    <w:rsid w:val="00F96CA1"/>
    <w:rsid w:val="00FA0549"/>
    <w:rsid w:val="00FA2E05"/>
    <w:rsid w:val="00FA39DC"/>
    <w:rsid w:val="00FA5741"/>
    <w:rsid w:val="00FA7E0E"/>
    <w:rsid w:val="00FB314B"/>
    <w:rsid w:val="00FC00E5"/>
    <w:rsid w:val="00FC0A1C"/>
    <w:rsid w:val="00FC396A"/>
    <w:rsid w:val="00FC3EB3"/>
    <w:rsid w:val="00FC681B"/>
    <w:rsid w:val="00FD1332"/>
    <w:rsid w:val="00FD16D0"/>
    <w:rsid w:val="00FD1C61"/>
    <w:rsid w:val="00FD222F"/>
    <w:rsid w:val="00FD2741"/>
    <w:rsid w:val="00FD7415"/>
    <w:rsid w:val="00FD7AB9"/>
    <w:rsid w:val="00FE2B04"/>
    <w:rsid w:val="00FE4F92"/>
    <w:rsid w:val="00FE5CE1"/>
    <w:rsid w:val="00FE7FFC"/>
    <w:rsid w:val="00FF1A17"/>
    <w:rsid w:val="00FF3BAC"/>
    <w:rsid w:val="00FF3DDF"/>
    <w:rsid w:val="00FF4D7C"/>
    <w:rsid w:val="00FF59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E81"/>
  </w:style>
  <w:style w:type="paragraph" w:styleId="Ttulo1">
    <w:name w:val="heading 1"/>
    <w:basedOn w:val="Normal"/>
    <w:next w:val="Normal"/>
    <w:link w:val="Ttulo1Car"/>
    <w:uiPriority w:val="9"/>
    <w:qFormat/>
    <w:rsid w:val="00BB5E81"/>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BB5E81"/>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BB5E81"/>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BB5E81"/>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BB5E81"/>
    <w:pPr>
      <w:keepNext/>
      <w:keepLines/>
      <w:numPr>
        <w:ilvl w:val="4"/>
        <w:numId w:val="12"/>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BB5E81"/>
    <w:pPr>
      <w:keepNext/>
      <w:keepLines/>
      <w:numPr>
        <w:ilvl w:val="5"/>
        <w:numId w:val="12"/>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BB5E81"/>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B5E81"/>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B5E81"/>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66CD"/>
    <w:pPr>
      <w:ind w:left="720"/>
      <w:contextualSpacing/>
    </w:pPr>
  </w:style>
  <w:style w:type="paragraph" w:styleId="Encabezado">
    <w:name w:val="header"/>
    <w:basedOn w:val="Normal"/>
    <w:link w:val="EncabezadoCar"/>
    <w:uiPriority w:val="99"/>
    <w:unhideWhenUsed/>
    <w:rsid w:val="009310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10D5"/>
  </w:style>
  <w:style w:type="paragraph" w:styleId="Piedepgina">
    <w:name w:val="footer"/>
    <w:basedOn w:val="Normal"/>
    <w:link w:val="PiedepginaCar"/>
    <w:uiPriority w:val="99"/>
    <w:unhideWhenUsed/>
    <w:rsid w:val="00931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10D5"/>
  </w:style>
  <w:style w:type="paragraph" w:styleId="Textonotapie">
    <w:name w:val="footnote text"/>
    <w:aliases w:val="Car3 Car,Car2,Car3"/>
    <w:basedOn w:val="Normal"/>
    <w:link w:val="TextonotapieCar"/>
    <w:unhideWhenUsed/>
    <w:rsid w:val="001B0142"/>
    <w:pPr>
      <w:spacing w:after="0" w:line="240" w:lineRule="auto"/>
    </w:pPr>
    <w:rPr>
      <w:sz w:val="20"/>
      <w:szCs w:val="20"/>
    </w:rPr>
  </w:style>
  <w:style w:type="character" w:customStyle="1" w:styleId="TextonotapieCar">
    <w:name w:val="Texto nota pie Car"/>
    <w:aliases w:val="Car3 Car Car,Car2 Car,Car3 Car1"/>
    <w:basedOn w:val="Fuentedeprrafopredeter"/>
    <w:link w:val="Textonotapie"/>
    <w:rsid w:val="001B0142"/>
    <w:rPr>
      <w:sz w:val="20"/>
      <w:szCs w:val="20"/>
    </w:rPr>
  </w:style>
  <w:style w:type="character" w:styleId="Refdenotaalpie">
    <w:name w:val="footnote reference"/>
    <w:aliases w:val="normal,Normal1"/>
    <w:basedOn w:val="Fuentedeprrafopredeter"/>
    <w:uiPriority w:val="99"/>
    <w:unhideWhenUsed/>
    <w:rsid w:val="001B0142"/>
    <w:rPr>
      <w:vertAlign w:val="superscript"/>
    </w:rPr>
  </w:style>
  <w:style w:type="character" w:customStyle="1" w:styleId="Ttulo1Car">
    <w:name w:val="Título 1 Car"/>
    <w:basedOn w:val="Fuentedeprrafopredeter"/>
    <w:link w:val="Ttulo1"/>
    <w:uiPriority w:val="9"/>
    <w:rsid w:val="00BB5E81"/>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BB5E81"/>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BB5E81"/>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BB5E81"/>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BB5E81"/>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BB5E81"/>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BB5E81"/>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B5E81"/>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BB5E81"/>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BB5E81"/>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BB5E8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BB5E81"/>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BB5E81"/>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BB5E81"/>
    <w:rPr>
      <w:color w:val="5A5A5A" w:themeColor="text1" w:themeTint="A5"/>
      <w:spacing w:val="10"/>
    </w:rPr>
  </w:style>
  <w:style w:type="character" w:styleId="Textoennegrita">
    <w:name w:val="Strong"/>
    <w:basedOn w:val="Fuentedeprrafopredeter"/>
    <w:uiPriority w:val="22"/>
    <w:qFormat/>
    <w:rsid w:val="00BB5E81"/>
    <w:rPr>
      <w:b/>
      <w:bCs/>
      <w:color w:val="000000" w:themeColor="text1"/>
    </w:rPr>
  </w:style>
  <w:style w:type="character" w:styleId="nfasis">
    <w:name w:val="Emphasis"/>
    <w:basedOn w:val="Fuentedeprrafopredeter"/>
    <w:uiPriority w:val="20"/>
    <w:qFormat/>
    <w:rsid w:val="00BB5E81"/>
    <w:rPr>
      <w:i/>
      <w:iCs/>
      <w:color w:val="auto"/>
    </w:rPr>
  </w:style>
  <w:style w:type="paragraph" w:styleId="Sinespaciado">
    <w:name w:val="No Spacing"/>
    <w:uiPriority w:val="1"/>
    <w:qFormat/>
    <w:rsid w:val="00BB5E81"/>
    <w:pPr>
      <w:spacing w:after="0" w:line="240" w:lineRule="auto"/>
    </w:pPr>
  </w:style>
  <w:style w:type="paragraph" w:styleId="Cita">
    <w:name w:val="Quote"/>
    <w:basedOn w:val="Normal"/>
    <w:next w:val="Normal"/>
    <w:link w:val="CitaCar"/>
    <w:uiPriority w:val="29"/>
    <w:qFormat/>
    <w:rsid w:val="00BB5E81"/>
    <w:pPr>
      <w:spacing w:before="160"/>
      <w:ind w:left="720" w:right="720"/>
    </w:pPr>
    <w:rPr>
      <w:i/>
      <w:iCs/>
      <w:color w:val="000000" w:themeColor="text1"/>
    </w:rPr>
  </w:style>
  <w:style w:type="character" w:customStyle="1" w:styleId="CitaCar">
    <w:name w:val="Cita Car"/>
    <w:basedOn w:val="Fuentedeprrafopredeter"/>
    <w:link w:val="Cita"/>
    <w:uiPriority w:val="29"/>
    <w:rsid w:val="00BB5E81"/>
    <w:rPr>
      <w:i/>
      <w:iCs/>
      <w:color w:val="000000" w:themeColor="text1"/>
    </w:rPr>
  </w:style>
  <w:style w:type="paragraph" w:styleId="Citadestacada">
    <w:name w:val="Intense Quote"/>
    <w:basedOn w:val="Normal"/>
    <w:next w:val="Normal"/>
    <w:link w:val="CitadestacadaCar"/>
    <w:uiPriority w:val="30"/>
    <w:qFormat/>
    <w:rsid w:val="00BB5E8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BB5E81"/>
    <w:rPr>
      <w:color w:val="000000" w:themeColor="text1"/>
      <w:shd w:val="clear" w:color="auto" w:fill="F2F2F2" w:themeFill="background1" w:themeFillShade="F2"/>
    </w:rPr>
  </w:style>
  <w:style w:type="character" w:styleId="nfasissutil">
    <w:name w:val="Subtle Emphasis"/>
    <w:basedOn w:val="Fuentedeprrafopredeter"/>
    <w:uiPriority w:val="19"/>
    <w:qFormat/>
    <w:rsid w:val="00BB5E81"/>
    <w:rPr>
      <w:i/>
      <w:iCs/>
      <w:color w:val="404040" w:themeColor="text1" w:themeTint="BF"/>
    </w:rPr>
  </w:style>
  <w:style w:type="character" w:styleId="nfasisintenso">
    <w:name w:val="Intense Emphasis"/>
    <w:basedOn w:val="Fuentedeprrafopredeter"/>
    <w:uiPriority w:val="21"/>
    <w:qFormat/>
    <w:rsid w:val="00BB5E81"/>
    <w:rPr>
      <w:b/>
      <w:bCs/>
      <w:i/>
      <w:iCs/>
      <w:caps/>
    </w:rPr>
  </w:style>
  <w:style w:type="character" w:styleId="Referenciasutil">
    <w:name w:val="Subtle Reference"/>
    <w:basedOn w:val="Fuentedeprrafopredeter"/>
    <w:uiPriority w:val="31"/>
    <w:qFormat/>
    <w:rsid w:val="00BB5E81"/>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B5E81"/>
    <w:rPr>
      <w:b/>
      <w:bCs/>
      <w:smallCaps/>
      <w:u w:val="single"/>
    </w:rPr>
  </w:style>
  <w:style w:type="character" w:styleId="Ttulodellibro">
    <w:name w:val="Book Title"/>
    <w:basedOn w:val="Fuentedeprrafopredeter"/>
    <w:uiPriority w:val="33"/>
    <w:qFormat/>
    <w:rsid w:val="00BB5E81"/>
    <w:rPr>
      <w:b w:val="0"/>
      <w:bCs w:val="0"/>
      <w:smallCaps/>
      <w:spacing w:val="5"/>
    </w:rPr>
  </w:style>
  <w:style w:type="paragraph" w:styleId="TtulodeTDC">
    <w:name w:val="TOC Heading"/>
    <w:basedOn w:val="Ttulo1"/>
    <w:next w:val="Normal"/>
    <w:uiPriority w:val="39"/>
    <w:semiHidden/>
    <w:unhideWhenUsed/>
    <w:qFormat/>
    <w:rsid w:val="00BB5E81"/>
    <w:pPr>
      <w:outlineLvl w:val="9"/>
    </w:pPr>
  </w:style>
  <w:style w:type="paragraph" w:customStyle="1" w:styleId="Default">
    <w:name w:val="Default"/>
    <w:rsid w:val="008B723B"/>
    <w:pPr>
      <w:autoSpaceDE w:val="0"/>
      <w:autoSpaceDN w:val="0"/>
      <w:adjustRightInd w:val="0"/>
      <w:spacing w:after="0" w:line="240" w:lineRule="auto"/>
    </w:pPr>
    <w:rPr>
      <w:rFonts w:ascii="Calibri" w:eastAsia="Calibri" w:hAnsi="Calibri" w:cs="Calibri"/>
      <w:color w:val="000000"/>
      <w:sz w:val="24"/>
      <w:szCs w:val="24"/>
    </w:rPr>
  </w:style>
  <w:style w:type="paragraph" w:customStyle="1" w:styleId="Estilo1">
    <w:name w:val="Estilo1"/>
    <w:basedOn w:val="Normal"/>
    <w:rsid w:val="00641F53"/>
    <w:pPr>
      <w:spacing w:after="0" w:line="360" w:lineRule="auto"/>
      <w:jc w:val="both"/>
    </w:pPr>
    <w:rPr>
      <w:rFonts w:ascii="Arial" w:eastAsia="Times New Roman" w:hAnsi="Arial" w:cs="Times New Roman"/>
      <w:szCs w:val="20"/>
      <w:lang w:val="es-ES" w:eastAsia="es-ES"/>
    </w:rPr>
  </w:style>
  <w:style w:type="paragraph" w:styleId="Textoindependiente">
    <w:name w:val="Body Text"/>
    <w:basedOn w:val="Normal"/>
    <w:link w:val="TextoindependienteCar"/>
    <w:rsid w:val="00A034A9"/>
    <w:pPr>
      <w:spacing w:before="60" w:after="0" w:line="240" w:lineRule="auto"/>
    </w:pPr>
    <w:rPr>
      <w:rFonts w:ascii="Verdana" w:eastAsia="Times New Roman" w:hAnsi="Verdana" w:cs="Times New Roman"/>
      <w:sz w:val="16"/>
      <w:szCs w:val="12"/>
      <w:lang w:val="es-ES_tradnl" w:eastAsia="es-ES"/>
    </w:rPr>
  </w:style>
  <w:style w:type="character" w:customStyle="1" w:styleId="TextoindependienteCar">
    <w:name w:val="Texto independiente Car"/>
    <w:basedOn w:val="Fuentedeprrafopredeter"/>
    <w:link w:val="Textoindependiente"/>
    <w:rsid w:val="00A034A9"/>
    <w:rPr>
      <w:rFonts w:ascii="Verdana" w:eastAsia="Times New Roman" w:hAnsi="Verdana" w:cs="Times New Roman"/>
      <w:sz w:val="16"/>
      <w:szCs w:val="12"/>
      <w:lang w:val="es-ES_tradnl" w:eastAsia="es-ES"/>
    </w:rPr>
  </w:style>
  <w:style w:type="paragraph" w:styleId="Textoindependiente3">
    <w:name w:val="Body Text 3"/>
    <w:basedOn w:val="Normal"/>
    <w:link w:val="Textoindependiente3Car"/>
    <w:rsid w:val="00A034A9"/>
    <w:pPr>
      <w:spacing w:after="0" w:line="360" w:lineRule="auto"/>
      <w:jc w:val="both"/>
    </w:pPr>
    <w:rPr>
      <w:rFonts w:ascii="Arial" w:eastAsia="Times New Roman" w:hAnsi="Arial" w:cs="Times New Roman"/>
      <w:sz w:val="20"/>
      <w:szCs w:val="20"/>
      <w:lang w:val="es-ES" w:eastAsia="es-ES"/>
    </w:rPr>
  </w:style>
  <w:style w:type="character" w:customStyle="1" w:styleId="Textoindependiente3Car">
    <w:name w:val="Texto independiente 3 Car"/>
    <w:basedOn w:val="Fuentedeprrafopredeter"/>
    <w:link w:val="Textoindependiente3"/>
    <w:rsid w:val="00A034A9"/>
    <w:rPr>
      <w:rFonts w:ascii="Arial" w:eastAsia="Times New Roman" w:hAnsi="Arial" w:cs="Times New Roman"/>
      <w:sz w:val="20"/>
      <w:szCs w:val="20"/>
      <w:lang w:val="es-ES" w:eastAsia="es-ES"/>
    </w:rPr>
  </w:style>
  <w:style w:type="character" w:styleId="Hipervnculo">
    <w:name w:val="Hyperlink"/>
    <w:basedOn w:val="Fuentedeprrafopredeter"/>
    <w:uiPriority w:val="99"/>
    <w:unhideWhenUsed/>
    <w:rsid w:val="00417F96"/>
    <w:rPr>
      <w:color w:val="0563C1" w:themeColor="hyperlink"/>
      <w:u w:val="single"/>
    </w:rPr>
  </w:style>
  <w:style w:type="paragraph" w:styleId="Textodeglobo">
    <w:name w:val="Balloon Text"/>
    <w:basedOn w:val="Normal"/>
    <w:link w:val="TextodegloboCar"/>
    <w:uiPriority w:val="99"/>
    <w:semiHidden/>
    <w:unhideWhenUsed/>
    <w:rsid w:val="009E4C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4C47"/>
    <w:rPr>
      <w:rFonts w:ascii="Tahoma" w:hAnsi="Tahoma" w:cs="Tahoma"/>
      <w:sz w:val="16"/>
      <w:szCs w:val="16"/>
    </w:rPr>
  </w:style>
  <w:style w:type="character" w:customStyle="1" w:styleId="apple-converted-space">
    <w:name w:val="apple-converted-space"/>
    <w:basedOn w:val="Fuentedeprrafopredeter"/>
    <w:rsid w:val="00126F1F"/>
  </w:style>
  <w:style w:type="character" w:customStyle="1" w:styleId="familyname">
    <w:name w:val="familyname"/>
    <w:basedOn w:val="Fuentedeprrafopredeter"/>
    <w:rsid w:val="00126F1F"/>
  </w:style>
  <w:style w:type="paragraph" w:styleId="Sangradetextonormal">
    <w:name w:val="Body Text Indent"/>
    <w:basedOn w:val="Normal"/>
    <w:link w:val="SangradetextonormalCar"/>
    <w:uiPriority w:val="99"/>
    <w:unhideWhenUsed/>
    <w:rsid w:val="00B015BC"/>
    <w:pPr>
      <w:spacing w:after="120"/>
      <w:ind w:left="283"/>
    </w:pPr>
  </w:style>
  <w:style w:type="character" w:customStyle="1" w:styleId="SangradetextonormalCar">
    <w:name w:val="Sangría de texto normal Car"/>
    <w:basedOn w:val="Fuentedeprrafopredeter"/>
    <w:link w:val="Sangradetextonormal"/>
    <w:uiPriority w:val="99"/>
    <w:rsid w:val="00B015BC"/>
  </w:style>
  <w:style w:type="paragraph" w:styleId="NormalWeb">
    <w:name w:val="Normal (Web)"/>
    <w:basedOn w:val="Normal"/>
    <w:uiPriority w:val="99"/>
    <w:semiHidden/>
    <w:unhideWhenUsed/>
    <w:rsid w:val="002A675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encionar1">
    <w:name w:val="Mencionar1"/>
    <w:basedOn w:val="Fuentedeprrafopredeter"/>
    <w:uiPriority w:val="99"/>
    <w:semiHidden/>
    <w:unhideWhenUsed/>
    <w:rsid w:val="00E2252E"/>
    <w:rPr>
      <w:color w:val="2B579A"/>
      <w:shd w:val="clear" w:color="auto" w:fill="E6E6E6"/>
    </w:rPr>
  </w:style>
  <w:style w:type="paragraph" w:styleId="HTMLconformatoprevio">
    <w:name w:val="HTML Preformatted"/>
    <w:basedOn w:val="Normal"/>
    <w:link w:val="HTMLconformatoprevioCar"/>
    <w:uiPriority w:val="99"/>
    <w:semiHidden/>
    <w:unhideWhenUsed/>
    <w:rsid w:val="00495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952C0"/>
    <w:rPr>
      <w:rFonts w:ascii="Courier New" w:eastAsia="Times New Roman" w:hAnsi="Courier New" w:cs="Courier New"/>
      <w:sz w:val="20"/>
      <w:szCs w:val="20"/>
      <w:lang w:val="es-ES" w:eastAsia="es-ES"/>
    </w:rPr>
  </w:style>
  <w:style w:type="character" w:customStyle="1" w:styleId="versal">
    <w:name w:val="versal"/>
    <w:basedOn w:val="Fuentedeprrafopredeter"/>
    <w:rsid w:val="00614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E81"/>
  </w:style>
  <w:style w:type="paragraph" w:styleId="Ttulo1">
    <w:name w:val="heading 1"/>
    <w:basedOn w:val="Normal"/>
    <w:next w:val="Normal"/>
    <w:link w:val="Ttulo1Car"/>
    <w:uiPriority w:val="9"/>
    <w:qFormat/>
    <w:rsid w:val="00BB5E81"/>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BB5E81"/>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BB5E81"/>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BB5E81"/>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BB5E81"/>
    <w:pPr>
      <w:keepNext/>
      <w:keepLines/>
      <w:numPr>
        <w:ilvl w:val="4"/>
        <w:numId w:val="12"/>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BB5E81"/>
    <w:pPr>
      <w:keepNext/>
      <w:keepLines/>
      <w:numPr>
        <w:ilvl w:val="5"/>
        <w:numId w:val="12"/>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BB5E81"/>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B5E81"/>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B5E81"/>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66CD"/>
    <w:pPr>
      <w:ind w:left="720"/>
      <w:contextualSpacing/>
    </w:pPr>
  </w:style>
  <w:style w:type="paragraph" w:styleId="Encabezado">
    <w:name w:val="header"/>
    <w:basedOn w:val="Normal"/>
    <w:link w:val="EncabezadoCar"/>
    <w:uiPriority w:val="99"/>
    <w:unhideWhenUsed/>
    <w:rsid w:val="009310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10D5"/>
  </w:style>
  <w:style w:type="paragraph" w:styleId="Piedepgina">
    <w:name w:val="footer"/>
    <w:basedOn w:val="Normal"/>
    <w:link w:val="PiedepginaCar"/>
    <w:uiPriority w:val="99"/>
    <w:unhideWhenUsed/>
    <w:rsid w:val="00931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10D5"/>
  </w:style>
  <w:style w:type="paragraph" w:styleId="Textonotapie">
    <w:name w:val="footnote text"/>
    <w:aliases w:val="Car3 Car,Car2,Car3"/>
    <w:basedOn w:val="Normal"/>
    <w:link w:val="TextonotapieCar"/>
    <w:unhideWhenUsed/>
    <w:rsid w:val="001B0142"/>
    <w:pPr>
      <w:spacing w:after="0" w:line="240" w:lineRule="auto"/>
    </w:pPr>
    <w:rPr>
      <w:sz w:val="20"/>
      <w:szCs w:val="20"/>
    </w:rPr>
  </w:style>
  <w:style w:type="character" w:customStyle="1" w:styleId="TextonotapieCar">
    <w:name w:val="Texto nota pie Car"/>
    <w:aliases w:val="Car3 Car Car,Car2 Car,Car3 Car1"/>
    <w:basedOn w:val="Fuentedeprrafopredeter"/>
    <w:link w:val="Textonotapie"/>
    <w:rsid w:val="001B0142"/>
    <w:rPr>
      <w:sz w:val="20"/>
      <w:szCs w:val="20"/>
    </w:rPr>
  </w:style>
  <w:style w:type="character" w:styleId="Refdenotaalpie">
    <w:name w:val="footnote reference"/>
    <w:aliases w:val="normal,Normal1"/>
    <w:basedOn w:val="Fuentedeprrafopredeter"/>
    <w:uiPriority w:val="99"/>
    <w:unhideWhenUsed/>
    <w:rsid w:val="001B0142"/>
    <w:rPr>
      <w:vertAlign w:val="superscript"/>
    </w:rPr>
  </w:style>
  <w:style w:type="character" w:customStyle="1" w:styleId="Ttulo1Car">
    <w:name w:val="Título 1 Car"/>
    <w:basedOn w:val="Fuentedeprrafopredeter"/>
    <w:link w:val="Ttulo1"/>
    <w:uiPriority w:val="9"/>
    <w:rsid w:val="00BB5E81"/>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BB5E81"/>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BB5E81"/>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BB5E81"/>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BB5E81"/>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BB5E81"/>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BB5E81"/>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B5E81"/>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BB5E81"/>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BB5E81"/>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BB5E8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BB5E81"/>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BB5E81"/>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BB5E81"/>
    <w:rPr>
      <w:color w:val="5A5A5A" w:themeColor="text1" w:themeTint="A5"/>
      <w:spacing w:val="10"/>
    </w:rPr>
  </w:style>
  <w:style w:type="character" w:styleId="Textoennegrita">
    <w:name w:val="Strong"/>
    <w:basedOn w:val="Fuentedeprrafopredeter"/>
    <w:uiPriority w:val="22"/>
    <w:qFormat/>
    <w:rsid w:val="00BB5E81"/>
    <w:rPr>
      <w:b/>
      <w:bCs/>
      <w:color w:val="000000" w:themeColor="text1"/>
    </w:rPr>
  </w:style>
  <w:style w:type="character" w:styleId="nfasis">
    <w:name w:val="Emphasis"/>
    <w:basedOn w:val="Fuentedeprrafopredeter"/>
    <w:uiPriority w:val="20"/>
    <w:qFormat/>
    <w:rsid w:val="00BB5E81"/>
    <w:rPr>
      <w:i/>
      <w:iCs/>
      <w:color w:val="auto"/>
    </w:rPr>
  </w:style>
  <w:style w:type="paragraph" w:styleId="Sinespaciado">
    <w:name w:val="No Spacing"/>
    <w:uiPriority w:val="1"/>
    <w:qFormat/>
    <w:rsid w:val="00BB5E81"/>
    <w:pPr>
      <w:spacing w:after="0" w:line="240" w:lineRule="auto"/>
    </w:pPr>
  </w:style>
  <w:style w:type="paragraph" w:styleId="Cita">
    <w:name w:val="Quote"/>
    <w:basedOn w:val="Normal"/>
    <w:next w:val="Normal"/>
    <w:link w:val="CitaCar"/>
    <w:uiPriority w:val="29"/>
    <w:qFormat/>
    <w:rsid w:val="00BB5E81"/>
    <w:pPr>
      <w:spacing w:before="160"/>
      <w:ind w:left="720" w:right="720"/>
    </w:pPr>
    <w:rPr>
      <w:i/>
      <w:iCs/>
      <w:color w:val="000000" w:themeColor="text1"/>
    </w:rPr>
  </w:style>
  <w:style w:type="character" w:customStyle="1" w:styleId="CitaCar">
    <w:name w:val="Cita Car"/>
    <w:basedOn w:val="Fuentedeprrafopredeter"/>
    <w:link w:val="Cita"/>
    <w:uiPriority w:val="29"/>
    <w:rsid w:val="00BB5E81"/>
    <w:rPr>
      <w:i/>
      <w:iCs/>
      <w:color w:val="000000" w:themeColor="text1"/>
    </w:rPr>
  </w:style>
  <w:style w:type="paragraph" w:styleId="Citadestacada">
    <w:name w:val="Intense Quote"/>
    <w:basedOn w:val="Normal"/>
    <w:next w:val="Normal"/>
    <w:link w:val="CitadestacadaCar"/>
    <w:uiPriority w:val="30"/>
    <w:qFormat/>
    <w:rsid w:val="00BB5E8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BB5E81"/>
    <w:rPr>
      <w:color w:val="000000" w:themeColor="text1"/>
      <w:shd w:val="clear" w:color="auto" w:fill="F2F2F2" w:themeFill="background1" w:themeFillShade="F2"/>
    </w:rPr>
  </w:style>
  <w:style w:type="character" w:styleId="nfasissutil">
    <w:name w:val="Subtle Emphasis"/>
    <w:basedOn w:val="Fuentedeprrafopredeter"/>
    <w:uiPriority w:val="19"/>
    <w:qFormat/>
    <w:rsid w:val="00BB5E81"/>
    <w:rPr>
      <w:i/>
      <w:iCs/>
      <w:color w:val="404040" w:themeColor="text1" w:themeTint="BF"/>
    </w:rPr>
  </w:style>
  <w:style w:type="character" w:styleId="nfasisintenso">
    <w:name w:val="Intense Emphasis"/>
    <w:basedOn w:val="Fuentedeprrafopredeter"/>
    <w:uiPriority w:val="21"/>
    <w:qFormat/>
    <w:rsid w:val="00BB5E81"/>
    <w:rPr>
      <w:b/>
      <w:bCs/>
      <w:i/>
      <w:iCs/>
      <w:caps/>
    </w:rPr>
  </w:style>
  <w:style w:type="character" w:styleId="Referenciasutil">
    <w:name w:val="Subtle Reference"/>
    <w:basedOn w:val="Fuentedeprrafopredeter"/>
    <w:uiPriority w:val="31"/>
    <w:qFormat/>
    <w:rsid w:val="00BB5E81"/>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B5E81"/>
    <w:rPr>
      <w:b/>
      <w:bCs/>
      <w:smallCaps/>
      <w:u w:val="single"/>
    </w:rPr>
  </w:style>
  <w:style w:type="character" w:styleId="Ttulodellibro">
    <w:name w:val="Book Title"/>
    <w:basedOn w:val="Fuentedeprrafopredeter"/>
    <w:uiPriority w:val="33"/>
    <w:qFormat/>
    <w:rsid w:val="00BB5E81"/>
    <w:rPr>
      <w:b w:val="0"/>
      <w:bCs w:val="0"/>
      <w:smallCaps/>
      <w:spacing w:val="5"/>
    </w:rPr>
  </w:style>
  <w:style w:type="paragraph" w:styleId="TtulodeTDC">
    <w:name w:val="TOC Heading"/>
    <w:basedOn w:val="Ttulo1"/>
    <w:next w:val="Normal"/>
    <w:uiPriority w:val="39"/>
    <w:semiHidden/>
    <w:unhideWhenUsed/>
    <w:qFormat/>
    <w:rsid w:val="00BB5E81"/>
    <w:pPr>
      <w:outlineLvl w:val="9"/>
    </w:pPr>
  </w:style>
  <w:style w:type="paragraph" w:customStyle="1" w:styleId="Default">
    <w:name w:val="Default"/>
    <w:rsid w:val="008B723B"/>
    <w:pPr>
      <w:autoSpaceDE w:val="0"/>
      <w:autoSpaceDN w:val="0"/>
      <w:adjustRightInd w:val="0"/>
      <w:spacing w:after="0" w:line="240" w:lineRule="auto"/>
    </w:pPr>
    <w:rPr>
      <w:rFonts w:ascii="Calibri" w:eastAsia="Calibri" w:hAnsi="Calibri" w:cs="Calibri"/>
      <w:color w:val="000000"/>
      <w:sz w:val="24"/>
      <w:szCs w:val="24"/>
    </w:rPr>
  </w:style>
  <w:style w:type="paragraph" w:customStyle="1" w:styleId="Estilo1">
    <w:name w:val="Estilo1"/>
    <w:basedOn w:val="Normal"/>
    <w:rsid w:val="00641F53"/>
    <w:pPr>
      <w:spacing w:after="0" w:line="360" w:lineRule="auto"/>
      <w:jc w:val="both"/>
    </w:pPr>
    <w:rPr>
      <w:rFonts w:ascii="Arial" w:eastAsia="Times New Roman" w:hAnsi="Arial" w:cs="Times New Roman"/>
      <w:szCs w:val="20"/>
      <w:lang w:val="es-ES" w:eastAsia="es-ES"/>
    </w:rPr>
  </w:style>
  <w:style w:type="paragraph" w:styleId="Textoindependiente">
    <w:name w:val="Body Text"/>
    <w:basedOn w:val="Normal"/>
    <w:link w:val="TextoindependienteCar"/>
    <w:rsid w:val="00A034A9"/>
    <w:pPr>
      <w:spacing w:before="60" w:after="0" w:line="240" w:lineRule="auto"/>
    </w:pPr>
    <w:rPr>
      <w:rFonts w:ascii="Verdana" w:eastAsia="Times New Roman" w:hAnsi="Verdana" w:cs="Times New Roman"/>
      <w:sz w:val="16"/>
      <w:szCs w:val="12"/>
      <w:lang w:val="es-ES_tradnl" w:eastAsia="es-ES"/>
    </w:rPr>
  </w:style>
  <w:style w:type="character" w:customStyle="1" w:styleId="TextoindependienteCar">
    <w:name w:val="Texto independiente Car"/>
    <w:basedOn w:val="Fuentedeprrafopredeter"/>
    <w:link w:val="Textoindependiente"/>
    <w:rsid w:val="00A034A9"/>
    <w:rPr>
      <w:rFonts w:ascii="Verdana" w:eastAsia="Times New Roman" w:hAnsi="Verdana" w:cs="Times New Roman"/>
      <w:sz w:val="16"/>
      <w:szCs w:val="12"/>
      <w:lang w:val="es-ES_tradnl" w:eastAsia="es-ES"/>
    </w:rPr>
  </w:style>
  <w:style w:type="paragraph" w:styleId="Textoindependiente3">
    <w:name w:val="Body Text 3"/>
    <w:basedOn w:val="Normal"/>
    <w:link w:val="Textoindependiente3Car"/>
    <w:rsid w:val="00A034A9"/>
    <w:pPr>
      <w:spacing w:after="0" w:line="360" w:lineRule="auto"/>
      <w:jc w:val="both"/>
    </w:pPr>
    <w:rPr>
      <w:rFonts w:ascii="Arial" w:eastAsia="Times New Roman" w:hAnsi="Arial" w:cs="Times New Roman"/>
      <w:sz w:val="20"/>
      <w:szCs w:val="20"/>
      <w:lang w:val="es-ES" w:eastAsia="es-ES"/>
    </w:rPr>
  </w:style>
  <w:style w:type="character" w:customStyle="1" w:styleId="Textoindependiente3Car">
    <w:name w:val="Texto independiente 3 Car"/>
    <w:basedOn w:val="Fuentedeprrafopredeter"/>
    <w:link w:val="Textoindependiente3"/>
    <w:rsid w:val="00A034A9"/>
    <w:rPr>
      <w:rFonts w:ascii="Arial" w:eastAsia="Times New Roman" w:hAnsi="Arial" w:cs="Times New Roman"/>
      <w:sz w:val="20"/>
      <w:szCs w:val="20"/>
      <w:lang w:val="es-ES" w:eastAsia="es-ES"/>
    </w:rPr>
  </w:style>
  <w:style w:type="character" w:styleId="Hipervnculo">
    <w:name w:val="Hyperlink"/>
    <w:basedOn w:val="Fuentedeprrafopredeter"/>
    <w:uiPriority w:val="99"/>
    <w:unhideWhenUsed/>
    <w:rsid w:val="00417F96"/>
    <w:rPr>
      <w:color w:val="0563C1" w:themeColor="hyperlink"/>
      <w:u w:val="single"/>
    </w:rPr>
  </w:style>
  <w:style w:type="paragraph" w:styleId="Textodeglobo">
    <w:name w:val="Balloon Text"/>
    <w:basedOn w:val="Normal"/>
    <w:link w:val="TextodegloboCar"/>
    <w:uiPriority w:val="99"/>
    <w:semiHidden/>
    <w:unhideWhenUsed/>
    <w:rsid w:val="009E4C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4C47"/>
    <w:rPr>
      <w:rFonts w:ascii="Tahoma" w:hAnsi="Tahoma" w:cs="Tahoma"/>
      <w:sz w:val="16"/>
      <w:szCs w:val="16"/>
    </w:rPr>
  </w:style>
  <w:style w:type="character" w:customStyle="1" w:styleId="apple-converted-space">
    <w:name w:val="apple-converted-space"/>
    <w:basedOn w:val="Fuentedeprrafopredeter"/>
    <w:rsid w:val="00126F1F"/>
  </w:style>
  <w:style w:type="character" w:customStyle="1" w:styleId="familyname">
    <w:name w:val="familyname"/>
    <w:basedOn w:val="Fuentedeprrafopredeter"/>
    <w:rsid w:val="00126F1F"/>
  </w:style>
  <w:style w:type="paragraph" w:styleId="Sangradetextonormal">
    <w:name w:val="Body Text Indent"/>
    <w:basedOn w:val="Normal"/>
    <w:link w:val="SangradetextonormalCar"/>
    <w:uiPriority w:val="99"/>
    <w:unhideWhenUsed/>
    <w:rsid w:val="00B015BC"/>
    <w:pPr>
      <w:spacing w:after="120"/>
      <w:ind w:left="283"/>
    </w:pPr>
  </w:style>
  <w:style w:type="character" w:customStyle="1" w:styleId="SangradetextonormalCar">
    <w:name w:val="Sangría de texto normal Car"/>
    <w:basedOn w:val="Fuentedeprrafopredeter"/>
    <w:link w:val="Sangradetextonormal"/>
    <w:uiPriority w:val="99"/>
    <w:rsid w:val="00B015BC"/>
  </w:style>
  <w:style w:type="paragraph" w:styleId="NormalWeb">
    <w:name w:val="Normal (Web)"/>
    <w:basedOn w:val="Normal"/>
    <w:uiPriority w:val="99"/>
    <w:semiHidden/>
    <w:unhideWhenUsed/>
    <w:rsid w:val="002A675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encionar1">
    <w:name w:val="Mencionar1"/>
    <w:basedOn w:val="Fuentedeprrafopredeter"/>
    <w:uiPriority w:val="99"/>
    <w:semiHidden/>
    <w:unhideWhenUsed/>
    <w:rsid w:val="00E2252E"/>
    <w:rPr>
      <w:color w:val="2B579A"/>
      <w:shd w:val="clear" w:color="auto" w:fill="E6E6E6"/>
    </w:rPr>
  </w:style>
  <w:style w:type="paragraph" w:styleId="HTMLconformatoprevio">
    <w:name w:val="HTML Preformatted"/>
    <w:basedOn w:val="Normal"/>
    <w:link w:val="HTMLconformatoprevioCar"/>
    <w:uiPriority w:val="99"/>
    <w:semiHidden/>
    <w:unhideWhenUsed/>
    <w:rsid w:val="00495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952C0"/>
    <w:rPr>
      <w:rFonts w:ascii="Courier New" w:eastAsia="Times New Roman" w:hAnsi="Courier New" w:cs="Courier New"/>
      <w:sz w:val="20"/>
      <w:szCs w:val="20"/>
      <w:lang w:val="es-ES" w:eastAsia="es-ES"/>
    </w:rPr>
  </w:style>
  <w:style w:type="character" w:customStyle="1" w:styleId="versal">
    <w:name w:val="versal"/>
    <w:basedOn w:val="Fuentedeprrafopredeter"/>
    <w:rsid w:val="00614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904">
      <w:bodyDiv w:val="1"/>
      <w:marLeft w:val="0"/>
      <w:marRight w:val="0"/>
      <w:marTop w:val="0"/>
      <w:marBottom w:val="0"/>
      <w:divBdr>
        <w:top w:val="none" w:sz="0" w:space="0" w:color="auto"/>
        <w:left w:val="none" w:sz="0" w:space="0" w:color="auto"/>
        <w:bottom w:val="none" w:sz="0" w:space="0" w:color="auto"/>
        <w:right w:val="none" w:sz="0" w:space="0" w:color="auto"/>
      </w:divBdr>
    </w:div>
    <w:div w:id="35735828">
      <w:bodyDiv w:val="1"/>
      <w:marLeft w:val="0"/>
      <w:marRight w:val="0"/>
      <w:marTop w:val="0"/>
      <w:marBottom w:val="0"/>
      <w:divBdr>
        <w:top w:val="none" w:sz="0" w:space="0" w:color="auto"/>
        <w:left w:val="none" w:sz="0" w:space="0" w:color="auto"/>
        <w:bottom w:val="none" w:sz="0" w:space="0" w:color="auto"/>
        <w:right w:val="none" w:sz="0" w:space="0" w:color="auto"/>
      </w:divBdr>
    </w:div>
    <w:div w:id="67045971">
      <w:bodyDiv w:val="1"/>
      <w:marLeft w:val="0"/>
      <w:marRight w:val="0"/>
      <w:marTop w:val="0"/>
      <w:marBottom w:val="0"/>
      <w:divBdr>
        <w:top w:val="none" w:sz="0" w:space="0" w:color="auto"/>
        <w:left w:val="none" w:sz="0" w:space="0" w:color="auto"/>
        <w:bottom w:val="none" w:sz="0" w:space="0" w:color="auto"/>
        <w:right w:val="none" w:sz="0" w:space="0" w:color="auto"/>
      </w:divBdr>
    </w:div>
    <w:div w:id="82921520">
      <w:bodyDiv w:val="1"/>
      <w:marLeft w:val="0"/>
      <w:marRight w:val="0"/>
      <w:marTop w:val="0"/>
      <w:marBottom w:val="0"/>
      <w:divBdr>
        <w:top w:val="none" w:sz="0" w:space="0" w:color="auto"/>
        <w:left w:val="none" w:sz="0" w:space="0" w:color="auto"/>
        <w:bottom w:val="none" w:sz="0" w:space="0" w:color="auto"/>
        <w:right w:val="none" w:sz="0" w:space="0" w:color="auto"/>
      </w:divBdr>
    </w:div>
    <w:div w:id="107353311">
      <w:bodyDiv w:val="1"/>
      <w:marLeft w:val="0"/>
      <w:marRight w:val="0"/>
      <w:marTop w:val="0"/>
      <w:marBottom w:val="0"/>
      <w:divBdr>
        <w:top w:val="none" w:sz="0" w:space="0" w:color="auto"/>
        <w:left w:val="none" w:sz="0" w:space="0" w:color="auto"/>
        <w:bottom w:val="none" w:sz="0" w:space="0" w:color="auto"/>
        <w:right w:val="none" w:sz="0" w:space="0" w:color="auto"/>
      </w:divBdr>
    </w:div>
    <w:div w:id="116414871">
      <w:bodyDiv w:val="1"/>
      <w:marLeft w:val="0"/>
      <w:marRight w:val="0"/>
      <w:marTop w:val="0"/>
      <w:marBottom w:val="0"/>
      <w:divBdr>
        <w:top w:val="none" w:sz="0" w:space="0" w:color="auto"/>
        <w:left w:val="none" w:sz="0" w:space="0" w:color="auto"/>
        <w:bottom w:val="none" w:sz="0" w:space="0" w:color="auto"/>
        <w:right w:val="none" w:sz="0" w:space="0" w:color="auto"/>
      </w:divBdr>
    </w:div>
    <w:div w:id="198980811">
      <w:bodyDiv w:val="1"/>
      <w:marLeft w:val="0"/>
      <w:marRight w:val="0"/>
      <w:marTop w:val="0"/>
      <w:marBottom w:val="0"/>
      <w:divBdr>
        <w:top w:val="none" w:sz="0" w:space="0" w:color="auto"/>
        <w:left w:val="none" w:sz="0" w:space="0" w:color="auto"/>
        <w:bottom w:val="none" w:sz="0" w:space="0" w:color="auto"/>
        <w:right w:val="none" w:sz="0" w:space="0" w:color="auto"/>
      </w:divBdr>
    </w:div>
    <w:div w:id="207423997">
      <w:bodyDiv w:val="1"/>
      <w:marLeft w:val="0"/>
      <w:marRight w:val="0"/>
      <w:marTop w:val="0"/>
      <w:marBottom w:val="0"/>
      <w:divBdr>
        <w:top w:val="none" w:sz="0" w:space="0" w:color="auto"/>
        <w:left w:val="none" w:sz="0" w:space="0" w:color="auto"/>
        <w:bottom w:val="none" w:sz="0" w:space="0" w:color="auto"/>
        <w:right w:val="none" w:sz="0" w:space="0" w:color="auto"/>
      </w:divBdr>
    </w:div>
    <w:div w:id="263735052">
      <w:bodyDiv w:val="1"/>
      <w:marLeft w:val="0"/>
      <w:marRight w:val="0"/>
      <w:marTop w:val="0"/>
      <w:marBottom w:val="0"/>
      <w:divBdr>
        <w:top w:val="none" w:sz="0" w:space="0" w:color="auto"/>
        <w:left w:val="none" w:sz="0" w:space="0" w:color="auto"/>
        <w:bottom w:val="none" w:sz="0" w:space="0" w:color="auto"/>
        <w:right w:val="none" w:sz="0" w:space="0" w:color="auto"/>
      </w:divBdr>
    </w:div>
    <w:div w:id="288319890">
      <w:bodyDiv w:val="1"/>
      <w:marLeft w:val="0"/>
      <w:marRight w:val="0"/>
      <w:marTop w:val="0"/>
      <w:marBottom w:val="0"/>
      <w:divBdr>
        <w:top w:val="none" w:sz="0" w:space="0" w:color="auto"/>
        <w:left w:val="none" w:sz="0" w:space="0" w:color="auto"/>
        <w:bottom w:val="none" w:sz="0" w:space="0" w:color="auto"/>
        <w:right w:val="none" w:sz="0" w:space="0" w:color="auto"/>
      </w:divBdr>
    </w:div>
    <w:div w:id="300773791">
      <w:bodyDiv w:val="1"/>
      <w:marLeft w:val="0"/>
      <w:marRight w:val="0"/>
      <w:marTop w:val="0"/>
      <w:marBottom w:val="0"/>
      <w:divBdr>
        <w:top w:val="none" w:sz="0" w:space="0" w:color="auto"/>
        <w:left w:val="none" w:sz="0" w:space="0" w:color="auto"/>
        <w:bottom w:val="none" w:sz="0" w:space="0" w:color="auto"/>
        <w:right w:val="none" w:sz="0" w:space="0" w:color="auto"/>
      </w:divBdr>
    </w:div>
    <w:div w:id="394744895">
      <w:bodyDiv w:val="1"/>
      <w:marLeft w:val="0"/>
      <w:marRight w:val="0"/>
      <w:marTop w:val="0"/>
      <w:marBottom w:val="0"/>
      <w:divBdr>
        <w:top w:val="none" w:sz="0" w:space="0" w:color="auto"/>
        <w:left w:val="none" w:sz="0" w:space="0" w:color="auto"/>
        <w:bottom w:val="none" w:sz="0" w:space="0" w:color="auto"/>
        <w:right w:val="none" w:sz="0" w:space="0" w:color="auto"/>
      </w:divBdr>
    </w:div>
    <w:div w:id="426968190">
      <w:bodyDiv w:val="1"/>
      <w:marLeft w:val="0"/>
      <w:marRight w:val="0"/>
      <w:marTop w:val="0"/>
      <w:marBottom w:val="0"/>
      <w:divBdr>
        <w:top w:val="none" w:sz="0" w:space="0" w:color="auto"/>
        <w:left w:val="none" w:sz="0" w:space="0" w:color="auto"/>
        <w:bottom w:val="none" w:sz="0" w:space="0" w:color="auto"/>
        <w:right w:val="none" w:sz="0" w:space="0" w:color="auto"/>
      </w:divBdr>
    </w:div>
    <w:div w:id="458836971">
      <w:bodyDiv w:val="1"/>
      <w:marLeft w:val="0"/>
      <w:marRight w:val="0"/>
      <w:marTop w:val="0"/>
      <w:marBottom w:val="0"/>
      <w:divBdr>
        <w:top w:val="none" w:sz="0" w:space="0" w:color="auto"/>
        <w:left w:val="none" w:sz="0" w:space="0" w:color="auto"/>
        <w:bottom w:val="none" w:sz="0" w:space="0" w:color="auto"/>
        <w:right w:val="none" w:sz="0" w:space="0" w:color="auto"/>
      </w:divBdr>
    </w:div>
    <w:div w:id="465204860">
      <w:bodyDiv w:val="1"/>
      <w:marLeft w:val="0"/>
      <w:marRight w:val="0"/>
      <w:marTop w:val="0"/>
      <w:marBottom w:val="0"/>
      <w:divBdr>
        <w:top w:val="none" w:sz="0" w:space="0" w:color="auto"/>
        <w:left w:val="none" w:sz="0" w:space="0" w:color="auto"/>
        <w:bottom w:val="none" w:sz="0" w:space="0" w:color="auto"/>
        <w:right w:val="none" w:sz="0" w:space="0" w:color="auto"/>
      </w:divBdr>
    </w:div>
    <w:div w:id="482699032">
      <w:bodyDiv w:val="1"/>
      <w:marLeft w:val="0"/>
      <w:marRight w:val="0"/>
      <w:marTop w:val="0"/>
      <w:marBottom w:val="0"/>
      <w:divBdr>
        <w:top w:val="none" w:sz="0" w:space="0" w:color="auto"/>
        <w:left w:val="none" w:sz="0" w:space="0" w:color="auto"/>
        <w:bottom w:val="none" w:sz="0" w:space="0" w:color="auto"/>
        <w:right w:val="none" w:sz="0" w:space="0" w:color="auto"/>
      </w:divBdr>
    </w:div>
    <w:div w:id="502473111">
      <w:bodyDiv w:val="1"/>
      <w:marLeft w:val="0"/>
      <w:marRight w:val="0"/>
      <w:marTop w:val="0"/>
      <w:marBottom w:val="0"/>
      <w:divBdr>
        <w:top w:val="none" w:sz="0" w:space="0" w:color="auto"/>
        <w:left w:val="none" w:sz="0" w:space="0" w:color="auto"/>
        <w:bottom w:val="none" w:sz="0" w:space="0" w:color="auto"/>
        <w:right w:val="none" w:sz="0" w:space="0" w:color="auto"/>
      </w:divBdr>
    </w:div>
    <w:div w:id="505218332">
      <w:bodyDiv w:val="1"/>
      <w:marLeft w:val="0"/>
      <w:marRight w:val="0"/>
      <w:marTop w:val="0"/>
      <w:marBottom w:val="0"/>
      <w:divBdr>
        <w:top w:val="none" w:sz="0" w:space="0" w:color="auto"/>
        <w:left w:val="none" w:sz="0" w:space="0" w:color="auto"/>
        <w:bottom w:val="none" w:sz="0" w:space="0" w:color="auto"/>
        <w:right w:val="none" w:sz="0" w:space="0" w:color="auto"/>
      </w:divBdr>
    </w:div>
    <w:div w:id="582688223">
      <w:bodyDiv w:val="1"/>
      <w:marLeft w:val="0"/>
      <w:marRight w:val="0"/>
      <w:marTop w:val="0"/>
      <w:marBottom w:val="0"/>
      <w:divBdr>
        <w:top w:val="none" w:sz="0" w:space="0" w:color="auto"/>
        <w:left w:val="none" w:sz="0" w:space="0" w:color="auto"/>
        <w:bottom w:val="none" w:sz="0" w:space="0" w:color="auto"/>
        <w:right w:val="none" w:sz="0" w:space="0" w:color="auto"/>
      </w:divBdr>
    </w:div>
    <w:div w:id="602611698">
      <w:bodyDiv w:val="1"/>
      <w:marLeft w:val="0"/>
      <w:marRight w:val="0"/>
      <w:marTop w:val="0"/>
      <w:marBottom w:val="0"/>
      <w:divBdr>
        <w:top w:val="none" w:sz="0" w:space="0" w:color="auto"/>
        <w:left w:val="none" w:sz="0" w:space="0" w:color="auto"/>
        <w:bottom w:val="none" w:sz="0" w:space="0" w:color="auto"/>
        <w:right w:val="none" w:sz="0" w:space="0" w:color="auto"/>
      </w:divBdr>
    </w:div>
    <w:div w:id="651981083">
      <w:bodyDiv w:val="1"/>
      <w:marLeft w:val="0"/>
      <w:marRight w:val="0"/>
      <w:marTop w:val="0"/>
      <w:marBottom w:val="0"/>
      <w:divBdr>
        <w:top w:val="none" w:sz="0" w:space="0" w:color="auto"/>
        <w:left w:val="none" w:sz="0" w:space="0" w:color="auto"/>
        <w:bottom w:val="none" w:sz="0" w:space="0" w:color="auto"/>
        <w:right w:val="none" w:sz="0" w:space="0" w:color="auto"/>
      </w:divBdr>
    </w:div>
    <w:div w:id="658384579">
      <w:bodyDiv w:val="1"/>
      <w:marLeft w:val="0"/>
      <w:marRight w:val="0"/>
      <w:marTop w:val="0"/>
      <w:marBottom w:val="0"/>
      <w:divBdr>
        <w:top w:val="none" w:sz="0" w:space="0" w:color="auto"/>
        <w:left w:val="none" w:sz="0" w:space="0" w:color="auto"/>
        <w:bottom w:val="none" w:sz="0" w:space="0" w:color="auto"/>
        <w:right w:val="none" w:sz="0" w:space="0" w:color="auto"/>
      </w:divBdr>
    </w:div>
    <w:div w:id="690957000">
      <w:bodyDiv w:val="1"/>
      <w:marLeft w:val="0"/>
      <w:marRight w:val="0"/>
      <w:marTop w:val="0"/>
      <w:marBottom w:val="0"/>
      <w:divBdr>
        <w:top w:val="none" w:sz="0" w:space="0" w:color="auto"/>
        <w:left w:val="none" w:sz="0" w:space="0" w:color="auto"/>
        <w:bottom w:val="none" w:sz="0" w:space="0" w:color="auto"/>
        <w:right w:val="none" w:sz="0" w:space="0" w:color="auto"/>
      </w:divBdr>
    </w:div>
    <w:div w:id="718632840">
      <w:bodyDiv w:val="1"/>
      <w:marLeft w:val="0"/>
      <w:marRight w:val="0"/>
      <w:marTop w:val="0"/>
      <w:marBottom w:val="0"/>
      <w:divBdr>
        <w:top w:val="none" w:sz="0" w:space="0" w:color="auto"/>
        <w:left w:val="none" w:sz="0" w:space="0" w:color="auto"/>
        <w:bottom w:val="none" w:sz="0" w:space="0" w:color="auto"/>
        <w:right w:val="none" w:sz="0" w:space="0" w:color="auto"/>
      </w:divBdr>
    </w:div>
    <w:div w:id="812873345">
      <w:bodyDiv w:val="1"/>
      <w:marLeft w:val="0"/>
      <w:marRight w:val="0"/>
      <w:marTop w:val="0"/>
      <w:marBottom w:val="0"/>
      <w:divBdr>
        <w:top w:val="none" w:sz="0" w:space="0" w:color="auto"/>
        <w:left w:val="none" w:sz="0" w:space="0" w:color="auto"/>
        <w:bottom w:val="none" w:sz="0" w:space="0" w:color="auto"/>
        <w:right w:val="none" w:sz="0" w:space="0" w:color="auto"/>
      </w:divBdr>
    </w:div>
    <w:div w:id="834340936">
      <w:bodyDiv w:val="1"/>
      <w:marLeft w:val="0"/>
      <w:marRight w:val="0"/>
      <w:marTop w:val="0"/>
      <w:marBottom w:val="0"/>
      <w:divBdr>
        <w:top w:val="none" w:sz="0" w:space="0" w:color="auto"/>
        <w:left w:val="none" w:sz="0" w:space="0" w:color="auto"/>
        <w:bottom w:val="none" w:sz="0" w:space="0" w:color="auto"/>
        <w:right w:val="none" w:sz="0" w:space="0" w:color="auto"/>
      </w:divBdr>
    </w:div>
    <w:div w:id="842547041">
      <w:bodyDiv w:val="1"/>
      <w:marLeft w:val="0"/>
      <w:marRight w:val="0"/>
      <w:marTop w:val="0"/>
      <w:marBottom w:val="0"/>
      <w:divBdr>
        <w:top w:val="none" w:sz="0" w:space="0" w:color="auto"/>
        <w:left w:val="none" w:sz="0" w:space="0" w:color="auto"/>
        <w:bottom w:val="none" w:sz="0" w:space="0" w:color="auto"/>
        <w:right w:val="none" w:sz="0" w:space="0" w:color="auto"/>
      </w:divBdr>
    </w:div>
    <w:div w:id="874267127">
      <w:bodyDiv w:val="1"/>
      <w:marLeft w:val="0"/>
      <w:marRight w:val="0"/>
      <w:marTop w:val="0"/>
      <w:marBottom w:val="0"/>
      <w:divBdr>
        <w:top w:val="none" w:sz="0" w:space="0" w:color="auto"/>
        <w:left w:val="none" w:sz="0" w:space="0" w:color="auto"/>
        <w:bottom w:val="none" w:sz="0" w:space="0" w:color="auto"/>
        <w:right w:val="none" w:sz="0" w:space="0" w:color="auto"/>
      </w:divBdr>
    </w:div>
    <w:div w:id="880171348">
      <w:bodyDiv w:val="1"/>
      <w:marLeft w:val="0"/>
      <w:marRight w:val="0"/>
      <w:marTop w:val="0"/>
      <w:marBottom w:val="0"/>
      <w:divBdr>
        <w:top w:val="none" w:sz="0" w:space="0" w:color="auto"/>
        <w:left w:val="none" w:sz="0" w:space="0" w:color="auto"/>
        <w:bottom w:val="none" w:sz="0" w:space="0" w:color="auto"/>
        <w:right w:val="none" w:sz="0" w:space="0" w:color="auto"/>
      </w:divBdr>
    </w:div>
    <w:div w:id="924919975">
      <w:bodyDiv w:val="1"/>
      <w:marLeft w:val="0"/>
      <w:marRight w:val="0"/>
      <w:marTop w:val="0"/>
      <w:marBottom w:val="0"/>
      <w:divBdr>
        <w:top w:val="none" w:sz="0" w:space="0" w:color="auto"/>
        <w:left w:val="none" w:sz="0" w:space="0" w:color="auto"/>
        <w:bottom w:val="none" w:sz="0" w:space="0" w:color="auto"/>
        <w:right w:val="none" w:sz="0" w:space="0" w:color="auto"/>
      </w:divBdr>
    </w:div>
    <w:div w:id="970285615">
      <w:bodyDiv w:val="1"/>
      <w:marLeft w:val="0"/>
      <w:marRight w:val="0"/>
      <w:marTop w:val="0"/>
      <w:marBottom w:val="0"/>
      <w:divBdr>
        <w:top w:val="none" w:sz="0" w:space="0" w:color="auto"/>
        <w:left w:val="none" w:sz="0" w:space="0" w:color="auto"/>
        <w:bottom w:val="none" w:sz="0" w:space="0" w:color="auto"/>
        <w:right w:val="none" w:sz="0" w:space="0" w:color="auto"/>
      </w:divBdr>
    </w:div>
    <w:div w:id="977882489">
      <w:bodyDiv w:val="1"/>
      <w:marLeft w:val="0"/>
      <w:marRight w:val="0"/>
      <w:marTop w:val="0"/>
      <w:marBottom w:val="0"/>
      <w:divBdr>
        <w:top w:val="none" w:sz="0" w:space="0" w:color="auto"/>
        <w:left w:val="none" w:sz="0" w:space="0" w:color="auto"/>
        <w:bottom w:val="none" w:sz="0" w:space="0" w:color="auto"/>
        <w:right w:val="none" w:sz="0" w:space="0" w:color="auto"/>
      </w:divBdr>
    </w:div>
    <w:div w:id="1016036363">
      <w:bodyDiv w:val="1"/>
      <w:marLeft w:val="0"/>
      <w:marRight w:val="0"/>
      <w:marTop w:val="0"/>
      <w:marBottom w:val="0"/>
      <w:divBdr>
        <w:top w:val="none" w:sz="0" w:space="0" w:color="auto"/>
        <w:left w:val="none" w:sz="0" w:space="0" w:color="auto"/>
        <w:bottom w:val="none" w:sz="0" w:space="0" w:color="auto"/>
        <w:right w:val="none" w:sz="0" w:space="0" w:color="auto"/>
      </w:divBdr>
    </w:div>
    <w:div w:id="1022248079">
      <w:bodyDiv w:val="1"/>
      <w:marLeft w:val="0"/>
      <w:marRight w:val="0"/>
      <w:marTop w:val="0"/>
      <w:marBottom w:val="0"/>
      <w:divBdr>
        <w:top w:val="none" w:sz="0" w:space="0" w:color="auto"/>
        <w:left w:val="none" w:sz="0" w:space="0" w:color="auto"/>
        <w:bottom w:val="none" w:sz="0" w:space="0" w:color="auto"/>
        <w:right w:val="none" w:sz="0" w:space="0" w:color="auto"/>
      </w:divBdr>
    </w:div>
    <w:div w:id="1030954607">
      <w:bodyDiv w:val="1"/>
      <w:marLeft w:val="0"/>
      <w:marRight w:val="0"/>
      <w:marTop w:val="0"/>
      <w:marBottom w:val="0"/>
      <w:divBdr>
        <w:top w:val="none" w:sz="0" w:space="0" w:color="auto"/>
        <w:left w:val="none" w:sz="0" w:space="0" w:color="auto"/>
        <w:bottom w:val="none" w:sz="0" w:space="0" w:color="auto"/>
        <w:right w:val="none" w:sz="0" w:space="0" w:color="auto"/>
      </w:divBdr>
    </w:div>
    <w:div w:id="1035083085">
      <w:bodyDiv w:val="1"/>
      <w:marLeft w:val="0"/>
      <w:marRight w:val="0"/>
      <w:marTop w:val="0"/>
      <w:marBottom w:val="0"/>
      <w:divBdr>
        <w:top w:val="none" w:sz="0" w:space="0" w:color="auto"/>
        <w:left w:val="none" w:sz="0" w:space="0" w:color="auto"/>
        <w:bottom w:val="none" w:sz="0" w:space="0" w:color="auto"/>
        <w:right w:val="none" w:sz="0" w:space="0" w:color="auto"/>
      </w:divBdr>
    </w:div>
    <w:div w:id="1091395291">
      <w:bodyDiv w:val="1"/>
      <w:marLeft w:val="0"/>
      <w:marRight w:val="0"/>
      <w:marTop w:val="0"/>
      <w:marBottom w:val="0"/>
      <w:divBdr>
        <w:top w:val="none" w:sz="0" w:space="0" w:color="auto"/>
        <w:left w:val="none" w:sz="0" w:space="0" w:color="auto"/>
        <w:bottom w:val="none" w:sz="0" w:space="0" w:color="auto"/>
        <w:right w:val="none" w:sz="0" w:space="0" w:color="auto"/>
      </w:divBdr>
    </w:div>
    <w:div w:id="1128746412">
      <w:bodyDiv w:val="1"/>
      <w:marLeft w:val="0"/>
      <w:marRight w:val="0"/>
      <w:marTop w:val="0"/>
      <w:marBottom w:val="0"/>
      <w:divBdr>
        <w:top w:val="none" w:sz="0" w:space="0" w:color="auto"/>
        <w:left w:val="none" w:sz="0" w:space="0" w:color="auto"/>
        <w:bottom w:val="none" w:sz="0" w:space="0" w:color="auto"/>
        <w:right w:val="none" w:sz="0" w:space="0" w:color="auto"/>
      </w:divBdr>
    </w:div>
    <w:div w:id="1218469697">
      <w:bodyDiv w:val="1"/>
      <w:marLeft w:val="0"/>
      <w:marRight w:val="0"/>
      <w:marTop w:val="0"/>
      <w:marBottom w:val="0"/>
      <w:divBdr>
        <w:top w:val="none" w:sz="0" w:space="0" w:color="auto"/>
        <w:left w:val="none" w:sz="0" w:space="0" w:color="auto"/>
        <w:bottom w:val="none" w:sz="0" w:space="0" w:color="auto"/>
        <w:right w:val="none" w:sz="0" w:space="0" w:color="auto"/>
      </w:divBdr>
    </w:div>
    <w:div w:id="1223910114">
      <w:bodyDiv w:val="1"/>
      <w:marLeft w:val="0"/>
      <w:marRight w:val="0"/>
      <w:marTop w:val="0"/>
      <w:marBottom w:val="0"/>
      <w:divBdr>
        <w:top w:val="none" w:sz="0" w:space="0" w:color="auto"/>
        <w:left w:val="none" w:sz="0" w:space="0" w:color="auto"/>
        <w:bottom w:val="none" w:sz="0" w:space="0" w:color="auto"/>
        <w:right w:val="none" w:sz="0" w:space="0" w:color="auto"/>
      </w:divBdr>
    </w:div>
    <w:div w:id="1252468940">
      <w:bodyDiv w:val="1"/>
      <w:marLeft w:val="0"/>
      <w:marRight w:val="0"/>
      <w:marTop w:val="0"/>
      <w:marBottom w:val="0"/>
      <w:divBdr>
        <w:top w:val="none" w:sz="0" w:space="0" w:color="auto"/>
        <w:left w:val="none" w:sz="0" w:space="0" w:color="auto"/>
        <w:bottom w:val="none" w:sz="0" w:space="0" w:color="auto"/>
        <w:right w:val="none" w:sz="0" w:space="0" w:color="auto"/>
      </w:divBdr>
    </w:div>
    <w:div w:id="1272588163">
      <w:bodyDiv w:val="1"/>
      <w:marLeft w:val="0"/>
      <w:marRight w:val="0"/>
      <w:marTop w:val="0"/>
      <w:marBottom w:val="0"/>
      <w:divBdr>
        <w:top w:val="none" w:sz="0" w:space="0" w:color="auto"/>
        <w:left w:val="none" w:sz="0" w:space="0" w:color="auto"/>
        <w:bottom w:val="none" w:sz="0" w:space="0" w:color="auto"/>
        <w:right w:val="none" w:sz="0" w:space="0" w:color="auto"/>
      </w:divBdr>
    </w:div>
    <w:div w:id="1301885953">
      <w:bodyDiv w:val="1"/>
      <w:marLeft w:val="0"/>
      <w:marRight w:val="0"/>
      <w:marTop w:val="0"/>
      <w:marBottom w:val="0"/>
      <w:divBdr>
        <w:top w:val="none" w:sz="0" w:space="0" w:color="auto"/>
        <w:left w:val="none" w:sz="0" w:space="0" w:color="auto"/>
        <w:bottom w:val="none" w:sz="0" w:space="0" w:color="auto"/>
        <w:right w:val="none" w:sz="0" w:space="0" w:color="auto"/>
      </w:divBdr>
    </w:div>
    <w:div w:id="1303072420">
      <w:bodyDiv w:val="1"/>
      <w:marLeft w:val="0"/>
      <w:marRight w:val="0"/>
      <w:marTop w:val="0"/>
      <w:marBottom w:val="0"/>
      <w:divBdr>
        <w:top w:val="none" w:sz="0" w:space="0" w:color="auto"/>
        <w:left w:val="none" w:sz="0" w:space="0" w:color="auto"/>
        <w:bottom w:val="none" w:sz="0" w:space="0" w:color="auto"/>
        <w:right w:val="none" w:sz="0" w:space="0" w:color="auto"/>
      </w:divBdr>
    </w:div>
    <w:div w:id="1464421420">
      <w:bodyDiv w:val="1"/>
      <w:marLeft w:val="0"/>
      <w:marRight w:val="0"/>
      <w:marTop w:val="0"/>
      <w:marBottom w:val="0"/>
      <w:divBdr>
        <w:top w:val="none" w:sz="0" w:space="0" w:color="auto"/>
        <w:left w:val="none" w:sz="0" w:space="0" w:color="auto"/>
        <w:bottom w:val="none" w:sz="0" w:space="0" w:color="auto"/>
        <w:right w:val="none" w:sz="0" w:space="0" w:color="auto"/>
      </w:divBdr>
    </w:div>
    <w:div w:id="1557424211">
      <w:bodyDiv w:val="1"/>
      <w:marLeft w:val="0"/>
      <w:marRight w:val="0"/>
      <w:marTop w:val="0"/>
      <w:marBottom w:val="0"/>
      <w:divBdr>
        <w:top w:val="none" w:sz="0" w:space="0" w:color="auto"/>
        <w:left w:val="none" w:sz="0" w:space="0" w:color="auto"/>
        <w:bottom w:val="none" w:sz="0" w:space="0" w:color="auto"/>
        <w:right w:val="none" w:sz="0" w:space="0" w:color="auto"/>
      </w:divBdr>
    </w:div>
    <w:div w:id="1585215656">
      <w:bodyDiv w:val="1"/>
      <w:marLeft w:val="0"/>
      <w:marRight w:val="0"/>
      <w:marTop w:val="0"/>
      <w:marBottom w:val="0"/>
      <w:divBdr>
        <w:top w:val="none" w:sz="0" w:space="0" w:color="auto"/>
        <w:left w:val="none" w:sz="0" w:space="0" w:color="auto"/>
        <w:bottom w:val="none" w:sz="0" w:space="0" w:color="auto"/>
        <w:right w:val="none" w:sz="0" w:space="0" w:color="auto"/>
      </w:divBdr>
    </w:div>
    <w:div w:id="1665622504">
      <w:bodyDiv w:val="1"/>
      <w:marLeft w:val="0"/>
      <w:marRight w:val="0"/>
      <w:marTop w:val="0"/>
      <w:marBottom w:val="0"/>
      <w:divBdr>
        <w:top w:val="none" w:sz="0" w:space="0" w:color="auto"/>
        <w:left w:val="none" w:sz="0" w:space="0" w:color="auto"/>
        <w:bottom w:val="none" w:sz="0" w:space="0" w:color="auto"/>
        <w:right w:val="none" w:sz="0" w:space="0" w:color="auto"/>
      </w:divBdr>
    </w:div>
    <w:div w:id="1686441938">
      <w:bodyDiv w:val="1"/>
      <w:marLeft w:val="0"/>
      <w:marRight w:val="0"/>
      <w:marTop w:val="0"/>
      <w:marBottom w:val="0"/>
      <w:divBdr>
        <w:top w:val="none" w:sz="0" w:space="0" w:color="auto"/>
        <w:left w:val="none" w:sz="0" w:space="0" w:color="auto"/>
        <w:bottom w:val="none" w:sz="0" w:space="0" w:color="auto"/>
        <w:right w:val="none" w:sz="0" w:space="0" w:color="auto"/>
      </w:divBdr>
    </w:div>
    <w:div w:id="1793671441">
      <w:bodyDiv w:val="1"/>
      <w:marLeft w:val="0"/>
      <w:marRight w:val="0"/>
      <w:marTop w:val="0"/>
      <w:marBottom w:val="0"/>
      <w:divBdr>
        <w:top w:val="none" w:sz="0" w:space="0" w:color="auto"/>
        <w:left w:val="none" w:sz="0" w:space="0" w:color="auto"/>
        <w:bottom w:val="none" w:sz="0" w:space="0" w:color="auto"/>
        <w:right w:val="none" w:sz="0" w:space="0" w:color="auto"/>
      </w:divBdr>
    </w:div>
    <w:div w:id="1813714035">
      <w:bodyDiv w:val="1"/>
      <w:marLeft w:val="0"/>
      <w:marRight w:val="0"/>
      <w:marTop w:val="0"/>
      <w:marBottom w:val="0"/>
      <w:divBdr>
        <w:top w:val="none" w:sz="0" w:space="0" w:color="auto"/>
        <w:left w:val="none" w:sz="0" w:space="0" w:color="auto"/>
        <w:bottom w:val="none" w:sz="0" w:space="0" w:color="auto"/>
        <w:right w:val="none" w:sz="0" w:space="0" w:color="auto"/>
      </w:divBdr>
    </w:div>
    <w:div w:id="1887136231">
      <w:bodyDiv w:val="1"/>
      <w:marLeft w:val="0"/>
      <w:marRight w:val="0"/>
      <w:marTop w:val="0"/>
      <w:marBottom w:val="0"/>
      <w:divBdr>
        <w:top w:val="none" w:sz="0" w:space="0" w:color="auto"/>
        <w:left w:val="none" w:sz="0" w:space="0" w:color="auto"/>
        <w:bottom w:val="none" w:sz="0" w:space="0" w:color="auto"/>
        <w:right w:val="none" w:sz="0" w:space="0" w:color="auto"/>
      </w:divBdr>
    </w:div>
    <w:div w:id="1891723610">
      <w:bodyDiv w:val="1"/>
      <w:marLeft w:val="0"/>
      <w:marRight w:val="0"/>
      <w:marTop w:val="0"/>
      <w:marBottom w:val="0"/>
      <w:divBdr>
        <w:top w:val="none" w:sz="0" w:space="0" w:color="auto"/>
        <w:left w:val="none" w:sz="0" w:space="0" w:color="auto"/>
        <w:bottom w:val="none" w:sz="0" w:space="0" w:color="auto"/>
        <w:right w:val="none" w:sz="0" w:space="0" w:color="auto"/>
      </w:divBdr>
    </w:div>
    <w:div w:id="1910311792">
      <w:bodyDiv w:val="1"/>
      <w:marLeft w:val="0"/>
      <w:marRight w:val="0"/>
      <w:marTop w:val="0"/>
      <w:marBottom w:val="0"/>
      <w:divBdr>
        <w:top w:val="none" w:sz="0" w:space="0" w:color="auto"/>
        <w:left w:val="none" w:sz="0" w:space="0" w:color="auto"/>
        <w:bottom w:val="none" w:sz="0" w:space="0" w:color="auto"/>
        <w:right w:val="none" w:sz="0" w:space="0" w:color="auto"/>
      </w:divBdr>
    </w:div>
    <w:div w:id="1927958570">
      <w:bodyDiv w:val="1"/>
      <w:marLeft w:val="0"/>
      <w:marRight w:val="0"/>
      <w:marTop w:val="0"/>
      <w:marBottom w:val="0"/>
      <w:divBdr>
        <w:top w:val="none" w:sz="0" w:space="0" w:color="auto"/>
        <w:left w:val="none" w:sz="0" w:space="0" w:color="auto"/>
        <w:bottom w:val="none" w:sz="0" w:space="0" w:color="auto"/>
        <w:right w:val="none" w:sz="0" w:space="0" w:color="auto"/>
      </w:divBdr>
    </w:div>
    <w:div w:id="1935896726">
      <w:bodyDiv w:val="1"/>
      <w:marLeft w:val="0"/>
      <w:marRight w:val="0"/>
      <w:marTop w:val="0"/>
      <w:marBottom w:val="0"/>
      <w:divBdr>
        <w:top w:val="none" w:sz="0" w:space="0" w:color="auto"/>
        <w:left w:val="none" w:sz="0" w:space="0" w:color="auto"/>
        <w:bottom w:val="none" w:sz="0" w:space="0" w:color="auto"/>
        <w:right w:val="none" w:sz="0" w:space="0" w:color="auto"/>
      </w:divBdr>
    </w:div>
    <w:div w:id="2045672283">
      <w:bodyDiv w:val="1"/>
      <w:marLeft w:val="0"/>
      <w:marRight w:val="0"/>
      <w:marTop w:val="0"/>
      <w:marBottom w:val="0"/>
      <w:divBdr>
        <w:top w:val="none" w:sz="0" w:space="0" w:color="auto"/>
        <w:left w:val="none" w:sz="0" w:space="0" w:color="auto"/>
        <w:bottom w:val="none" w:sz="0" w:space="0" w:color="auto"/>
        <w:right w:val="none" w:sz="0" w:space="0" w:color="auto"/>
      </w:divBdr>
    </w:div>
    <w:div w:id="211446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foleg.gov.ar/infolegInternet/anexos/60000-64999/60458/norma.htm" TargetMode="Externa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www.aacademica.org/vaninavanraap/2"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cippec.org/documents/10179/56531/GPS+DEL+ESTADO.pdf/6da30174-7e60-4876-bffc-d48c3a0cc148"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fip.gob.ar/guiaDeServicios/documentos/ManualMonotributo.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ia%20Berenice%20Rubio\Google%20Drive\Beca%20UBA\Doctorado\1.%20J&#243;venes\Articulo\Cuadros%20y%20Gr&#225;fi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ia%20Berenice%20Rubio\Google%20Drive\Beca%20UBA\Doctorado\1.%20J&#243;venes\Articulo\Cuadros%20y%20Gr&#225;fic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ria%20Berenice%20Rubio\Google%20Drive\Beca%20UBA\Doctorado\1.%20J&#243;venes\Articulo\Cuadros%20y%20Gr&#225;fic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ria%20Berenice%20Rubio\Google%20Drive\Beca%20UBA\Doctorado\1.%20J&#243;venes\Articulo\Cuadros%20y%20Gr&#225;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694977560794587E-2"/>
          <c:y val="4.2292069157497759E-2"/>
          <c:w val="0.89446248342668511"/>
          <c:h val="0.64047588313755865"/>
        </c:manualLayout>
      </c:layout>
      <c:lineChart>
        <c:grouping val="standard"/>
        <c:varyColors val="0"/>
        <c:ser>
          <c:idx val="0"/>
          <c:order val="0"/>
          <c:tx>
            <c:strRef>
              <c:f>'DES Y SUB'!$B$3</c:f>
              <c:strCache>
                <c:ptCount val="1"/>
                <c:pt idx="0">
                  <c:v>Adultos (30 años o más)</c:v>
                </c:pt>
              </c:strCache>
            </c:strRef>
          </c:tx>
          <c:cat>
            <c:multiLvlStrRef>
              <c:f>'DES Y SUB'!$C$1:$K$2</c:f>
              <c:multiLvlStrCache>
                <c:ptCount val="9"/>
                <c:lvl>
                  <c:pt idx="0">
                    <c:v>1992</c:v>
                  </c:pt>
                  <c:pt idx="1">
                    <c:v>1994</c:v>
                  </c:pt>
                  <c:pt idx="2">
                    <c:v>1998</c:v>
                  </c:pt>
                  <c:pt idx="3">
                    <c:v>2001</c:v>
                  </c:pt>
                  <c:pt idx="4">
                    <c:v>2003</c:v>
                  </c:pt>
                  <c:pt idx="5">
                    <c:v>2004</c:v>
                  </c:pt>
                  <c:pt idx="6">
                    <c:v>2007</c:v>
                  </c:pt>
                  <c:pt idx="7">
                    <c:v>2012</c:v>
                  </c:pt>
                  <c:pt idx="8">
                    <c:v>2014</c:v>
                  </c:pt>
                </c:lvl>
                <c:lvl>
                  <c:pt idx="0">
                    <c:v>Convertibilidad</c:v>
                  </c:pt>
                  <c:pt idx="3">
                    <c:v>Pre Crisis</c:v>
                  </c:pt>
                  <c:pt idx="4">
                    <c:v>Post Crisis</c:v>
                  </c:pt>
                  <c:pt idx="5">
                    <c:v>Post convertibilidad</c:v>
                  </c:pt>
                </c:lvl>
              </c:multiLvlStrCache>
            </c:multiLvlStrRef>
          </c:cat>
          <c:val>
            <c:numRef>
              <c:f>'DES Y SUB'!$C$3:$K$3</c:f>
              <c:numCache>
                <c:formatCode>0.0%</c:formatCode>
                <c:ptCount val="9"/>
                <c:pt idx="0">
                  <c:v>6.0528937860468202E-2</c:v>
                </c:pt>
                <c:pt idx="1">
                  <c:v>0.12021848872052873</c:v>
                </c:pt>
                <c:pt idx="2">
                  <c:v>0.12755371140135524</c:v>
                </c:pt>
                <c:pt idx="3">
                  <c:v>0.18478060103484514</c:v>
                </c:pt>
                <c:pt idx="4">
                  <c:v>0.10668525787501597</c:v>
                </c:pt>
                <c:pt idx="5">
                  <c:v>6.2286961166397939E-2</c:v>
                </c:pt>
                <c:pt idx="6">
                  <c:v>5.9960874959386685E-2</c:v>
                </c:pt>
                <c:pt idx="7">
                  <c:v>5.740103184111018E-2</c:v>
                </c:pt>
                <c:pt idx="8">
                  <c:v>4.8821250466821224E-2</c:v>
                </c:pt>
              </c:numCache>
            </c:numRef>
          </c:val>
          <c:smooth val="0"/>
          <c:extLst xmlns:c16r2="http://schemas.microsoft.com/office/drawing/2015/06/chart">
            <c:ext xmlns:c16="http://schemas.microsoft.com/office/drawing/2014/chart" uri="{C3380CC4-5D6E-409C-BE32-E72D297353CC}">
              <c16:uniqueId val="{00000000-8B44-4507-8CD6-43BF0561BF22}"/>
            </c:ext>
          </c:extLst>
        </c:ser>
        <c:ser>
          <c:idx val="1"/>
          <c:order val="1"/>
          <c:tx>
            <c:strRef>
              <c:f>'DES Y SUB'!$B$4</c:f>
              <c:strCache>
                <c:ptCount val="1"/>
                <c:pt idx="0">
                  <c:v>Jóvenes (18 a 29 años)</c:v>
                </c:pt>
              </c:strCache>
            </c:strRef>
          </c:tx>
          <c:cat>
            <c:multiLvlStrRef>
              <c:f>'DES Y SUB'!$C$1:$K$2</c:f>
              <c:multiLvlStrCache>
                <c:ptCount val="9"/>
                <c:lvl>
                  <c:pt idx="0">
                    <c:v>1992</c:v>
                  </c:pt>
                  <c:pt idx="1">
                    <c:v>1994</c:v>
                  </c:pt>
                  <c:pt idx="2">
                    <c:v>1998</c:v>
                  </c:pt>
                  <c:pt idx="3">
                    <c:v>2001</c:v>
                  </c:pt>
                  <c:pt idx="4">
                    <c:v>2003</c:v>
                  </c:pt>
                  <c:pt idx="5">
                    <c:v>2004</c:v>
                  </c:pt>
                  <c:pt idx="6">
                    <c:v>2007</c:v>
                  </c:pt>
                  <c:pt idx="7">
                    <c:v>2012</c:v>
                  </c:pt>
                  <c:pt idx="8">
                    <c:v>2014</c:v>
                  </c:pt>
                </c:lvl>
                <c:lvl>
                  <c:pt idx="0">
                    <c:v>Convertibilidad</c:v>
                  </c:pt>
                  <c:pt idx="3">
                    <c:v>Pre Crisis</c:v>
                  </c:pt>
                  <c:pt idx="4">
                    <c:v>Post Crisis</c:v>
                  </c:pt>
                  <c:pt idx="5">
                    <c:v>Post convertibilidad</c:v>
                  </c:pt>
                </c:lvl>
              </c:multiLvlStrCache>
            </c:multiLvlStrRef>
          </c:cat>
          <c:val>
            <c:numRef>
              <c:f>'DES Y SUB'!$C$4:$K$4</c:f>
              <c:numCache>
                <c:formatCode>0.0%</c:formatCode>
                <c:ptCount val="9"/>
                <c:pt idx="0">
                  <c:v>0.10315325763518289</c:v>
                </c:pt>
                <c:pt idx="1">
                  <c:v>0.20170017982453348</c:v>
                </c:pt>
                <c:pt idx="2">
                  <c:v>0.20871705879846433</c:v>
                </c:pt>
                <c:pt idx="3">
                  <c:v>0.32408210515151964</c:v>
                </c:pt>
                <c:pt idx="4">
                  <c:v>0.24391903403270643</c:v>
                </c:pt>
                <c:pt idx="5">
                  <c:v>0.20227593412393233</c:v>
                </c:pt>
                <c:pt idx="6">
                  <c:v>0.11837334503710892</c:v>
                </c:pt>
                <c:pt idx="7">
                  <c:v>0.12844567460164719</c:v>
                </c:pt>
                <c:pt idx="8">
                  <c:v>0.12833701885829288</c:v>
                </c:pt>
              </c:numCache>
            </c:numRef>
          </c:val>
          <c:smooth val="0"/>
          <c:extLst xmlns:c16r2="http://schemas.microsoft.com/office/drawing/2015/06/chart">
            <c:ext xmlns:c16="http://schemas.microsoft.com/office/drawing/2014/chart" uri="{C3380CC4-5D6E-409C-BE32-E72D297353CC}">
              <c16:uniqueId val="{00000001-8B44-4507-8CD6-43BF0561BF22}"/>
            </c:ext>
          </c:extLst>
        </c:ser>
        <c:dLbls>
          <c:showLegendKey val="0"/>
          <c:showVal val="0"/>
          <c:showCatName val="0"/>
          <c:showSerName val="0"/>
          <c:showPercent val="0"/>
          <c:showBubbleSize val="0"/>
        </c:dLbls>
        <c:marker val="1"/>
        <c:smooth val="0"/>
        <c:axId val="91651072"/>
        <c:axId val="91652864"/>
      </c:lineChart>
      <c:catAx>
        <c:axId val="91651072"/>
        <c:scaling>
          <c:orientation val="minMax"/>
        </c:scaling>
        <c:delete val="0"/>
        <c:axPos val="b"/>
        <c:numFmt formatCode="General" sourceLinked="0"/>
        <c:majorTickMark val="out"/>
        <c:minorTickMark val="none"/>
        <c:tickLblPos val="nextTo"/>
        <c:crossAx val="91652864"/>
        <c:crosses val="autoZero"/>
        <c:auto val="1"/>
        <c:lblAlgn val="ctr"/>
        <c:lblOffset val="100"/>
        <c:noMultiLvlLbl val="0"/>
      </c:catAx>
      <c:valAx>
        <c:axId val="91652864"/>
        <c:scaling>
          <c:orientation val="minMax"/>
          <c:max val="0.5"/>
        </c:scaling>
        <c:delete val="0"/>
        <c:axPos val="l"/>
        <c:majorGridlines/>
        <c:numFmt formatCode="0%" sourceLinked="0"/>
        <c:majorTickMark val="out"/>
        <c:minorTickMark val="none"/>
        <c:tickLblPos val="nextTo"/>
        <c:crossAx val="91651072"/>
        <c:crosses val="autoZero"/>
        <c:crossBetween val="between"/>
        <c:majorUnit val="5.000000000000001E-2"/>
      </c:valAx>
    </c:plotArea>
    <c:legend>
      <c:legendPos val="r"/>
      <c:layout>
        <c:manualLayout>
          <c:xMode val="edge"/>
          <c:yMode val="edge"/>
          <c:x val="0"/>
          <c:y val="0.88679345409692645"/>
          <c:w val="1"/>
          <c:h val="8.9300471072906354E-2"/>
        </c:manualLayout>
      </c:layout>
      <c:overlay val="0"/>
    </c:legend>
    <c:plotVisOnly val="1"/>
    <c:dispBlanksAs val="gap"/>
    <c:showDLblsOverMax val="0"/>
  </c:chart>
  <c:txPr>
    <a:bodyPr/>
    <a:lstStyle/>
    <a:p>
      <a:pPr algn="just">
        <a:defRPr>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957813387361665E-2"/>
          <c:y val="5.1400554097404488E-2"/>
          <c:w val="0.90187621832358678"/>
          <c:h val="0.61045527962850799"/>
        </c:manualLayout>
      </c:layout>
      <c:lineChart>
        <c:grouping val="standard"/>
        <c:varyColors val="0"/>
        <c:ser>
          <c:idx val="0"/>
          <c:order val="0"/>
          <c:tx>
            <c:strRef>
              <c:f>'DES Y SUB'!$B$5</c:f>
              <c:strCache>
                <c:ptCount val="1"/>
                <c:pt idx="0">
                  <c:v>Adultos (30 años o más)</c:v>
                </c:pt>
              </c:strCache>
            </c:strRef>
          </c:tx>
          <c:cat>
            <c:multiLvlStrRef>
              <c:f>'DES Y SUB'!$C$1:$K$2</c:f>
              <c:multiLvlStrCache>
                <c:ptCount val="9"/>
                <c:lvl>
                  <c:pt idx="0">
                    <c:v>1992</c:v>
                  </c:pt>
                  <c:pt idx="1">
                    <c:v>1994</c:v>
                  </c:pt>
                  <c:pt idx="2">
                    <c:v>1998</c:v>
                  </c:pt>
                  <c:pt idx="3">
                    <c:v>2001</c:v>
                  </c:pt>
                  <c:pt idx="4">
                    <c:v>2003</c:v>
                  </c:pt>
                  <c:pt idx="5">
                    <c:v>2004</c:v>
                  </c:pt>
                  <c:pt idx="6">
                    <c:v>2007</c:v>
                  </c:pt>
                  <c:pt idx="7">
                    <c:v>2012</c:v>
                  </c:pt>
                  <c:pt idx="8">
                    <c:v>2014</c:v>
                  </c:pt>
                </c:lvl>
                <c:lvl>
                  <c:pt idx="0">
                    <c:v>Convertibilidad</c:v>
                  </c:pt>
                  <c:pt idx="3">
                    <c:v>Pre Crisis</c:v>
                  </c:pt>
                  <c:pt idx="4">
                    <c:v>Post Crisis</c:v>
                  </c:pt>
                  <c:pt idx="5">
                    <c:v>Post convertibilidad</c:v>
                  </c:pt>
                </c:lvl>
              </c:multiLvlStrCache>
            </c:multiLvlStrRef>
          </c:cat>
          <c:val>
            <c:numRef>
              <c:f>'DES Y SUB'!$C$5:$K$5</c:f>
              <c:numCache>
                <c:formatCode>0.0%</c:formatCode>
                <c:ptCount val="9"/>
                <c:pt idx="0">
                  <c:v>6.6016825560092918E-2</c:v>
                </c:pt>
                <c:pt idx="1">
                  <c:v>9.5360901932088668E-2</c:v>
                </c:pt>
                <c:pt idx="2">
                  <c:v>0.14001898403906496</c:v>
                </c:pt>
                <c:pt idx="3">
                  <c:v>0.15671699169591535</c:v>
                </c:pt>
                <c:pt idx="4">
                  <c:v>0.17728925919432814</c:v>
                </c:pt>
                <c:pt idx="5">
                  <c:v>0.11623463542830857</c:v>
                </c:pt>
                <c:pt idx="6">
                  <c:v>0.10492460077963468</c:v>
                </c:pt>
                <c:pt idx="7">
                  <c:v>0.1054602248521995</c:v>
                </c:pt>
                <c:pt idx="8">
                  <c:v>9.7744551494341442E-2</c:v>
                </c:pt>
              </c:numCache>
            </c:numRef>
          </c:val>
          <c:smooth val="0"/>
          <c:extLst xmlns:c16r2="http://schemas.microsoft.com/office/drawing/2015/06/chart">
            <c:ext xmlns:c16="http://schemas.microsoft.com/office/drawing/2014/chart" uri="{C3380CC4-5D6E-409C-BE32-E72D297353CC}">
              <c16:uniqueId val="{00000000-0166-4647-87F8-9305CED6489D}"/>
            </c:ext>
          </c:extLst>
        </c:ser>
        <c:ser>
          <c:idx val="1"/>
          <c:order val="1"/>
          <c:tx>
            <c:strRef>
              <c:f>'DES Y SUB'!$B$6</c:f>
              <c:strCache>
                <c:ptCount val="1"/>
                <c:pt idx="0">
                  <c:v>Jóvenes (18 a 29 años)</c:v>
                </c:pt>
              </c:strCache>
            </c:strRef>
          </c:tx>
          <c:cat>
            <c:multiLvlStrRef>
              <c:f>'DES Y SUB'!$C$1:$K$2</c:f>
              <c:multiLvlStrCache>
                <c:ptCount val="9"/>
                <c:lvl>
                  <c:pt idx="0">
                    <c:v>1992</c:v>
                  </c:pt>
                  <c:pt idx="1">
                    <c:v>1994</c:v>
                  </c:pt>
                  <c:pt idx="2">
                    <c:v>1998</c:v>
                  </c:pt>
                  <c:pt idx="3">
                    <c:v>2001</c:v>
                  </c:pt>
                  <c:pt idx="4">
                    <c:v>2003</c:v>
                  </c:pt>
                  <c:pt idx="5">
                    <c:v>2004</c:v>
                  </c:pt>
                  <c:pt idx="6">
                    <c:v>2007</c:v>
                  </c:pt>
                  <c:pt idx="7">
                    <c:v>2012</c:v>
                  </c:pt>
                  <c:pt idx="8">
                    <c:v>2014</c:v>
                  </c:pt>
                </c:lvl>
                <c:lvl>
                  <c:pt idx="0">
                    <c:v>Convertibilidad</c:v>
                  </c:pt>
                  <c:pt idx="3">
                    <c:v>Pre Crisis</c:v>
                  </c:pt>
                  <c:pt idx="4">
                    <c:v>Post Crisis</c:v>
                  </c:pt>
                  <c:pt idx="5">
                    <c:v>Post convertibilidad</c:v>
                  </c:pt>
                </c:lvl>
              </c:multiLvlStrCache>
            </c:multiLvlStrRef>
          </c:cat>
          <c:val>
            <c:numRef>
              <c:f>'DES Y SUB'!$C$6:$K$6</c:f>
              <c:numCache>
                <c:formatCode>0.0%</c:formatCode>
                <c:ptCount val="9"/>
                <c:pt idx="0">
                  <c:v>7.2770022007736163E-2</c:v>
                </c:pt>
                <c:pt idx="1">
                  <c:v>9.2682378716498592E-2</c:v>
                </c:pt>
                <c:pt idx="2">
                  <c:v>0.11638672050269548</c:v>
                </c:pt>
                <c:pt idx="3">
                  <c:v>0.1571456693251928</c:v>
                </c:pt>
                <c:pt idx="4">
                  <c:v>0.17093612047418488</c:v>
                </c:pt>
                <c:pt idx="5">
                  <c:v>0.14086610441507524</c:v>
                </c:pt>
                <c:pt idx="6">
                  <c:v>9.3761833570921521E-2</c:v>
                </c:pt>
                <c:pt idx="7">
                  <c:v>0.1065950267279257</c:v>
                </c:pt>
                <c:pt idx="8">
                  <c:v>0.11386691000919311</c:v>
                </c:pt>
              </c:numCache>
            </c:numRef>
          </c:val>
          <c:smooth val="0"/>
          <c:extLst xmlns:c16r2="http://schemas.microsoft.com/office/drawing/2015/06/chart">
            <c:ext xmlns:c16="http://schemas.microsoft.com/office/drawing/2014/chart" uri="{C3380CC4-5D6E-409C-BE32-E72D297353CC}">
              <c16:uniqueId val="{00000001-0166-4647-87F8-9305CED6489D}"/>
            </c:ext>
          </c:extLst>
        </c:ser>
        <c:dLbls>
          <c:showLegendKey val="0"/>
          <c:showVal val="0"/>
          <c:showCatName val="0"/>
          <c:showSerName val="0"/>
          <c:showPercent val="0"/>
          <c:showBubbleSize val="0"/>
        </c:dLbls>
        <c:marker val="1"/>
        <c:smooth val="0"/>
        <c:axId val="91694976"/>
        <c:axId val="91696512"/>
      </c:lineChart>
      <c:catAx>
        <c:axId val="91694976"/>
        <c:scaling>
          <c:orientation val="minMax"/>
        </c:scaling>
        <c:delete val="0"/>
        <c:axPos val="b"/>
        <c:numFmt formatCode="General" sourceLinked="0"/>
        <c:majorTickMark val="out"/>
        <c:minorTickMark val="none"/>
        <c:tickLblPos val="nextTo"/>
        <c:crossAx val="91696512"/>
        <c:crosses val="autoZero"/>
        <c:auto val="1"/>
        <c:lblAlgn val="ctr"/>
        <c:lblOffset val="100"/>
        <c:noMultiLvlLbl val="0"/>
      </c:catAx>
      <c:valAx>
        <c:axId val="91696512"/>
        <c:scaling>
          <c:orientation val="minMax"/>
          <c:max val="0.5"/>
        </c:scaling>
        <c:delete val="0"/>
        <c:axPos val="l"/>
        <c:majorGridlines/>
        <c:numFmt formatCode="0%" sourceLinked="0"/>
        <c:majorTickMark val="out"/>
        <c:minorTickMark val="none"/>
        <c:tickLblPos val="nextTo"/>
        <c:crossAx val="91694976"/>
        <c:crosses val="autoZero"/>
        <c:crossBetween val="between"/>
        <c:majorUnit val="5.000000000000001E-2"/>
        <c:minorUnit val="5.000000000000001E-2"/>
      </c:valAx>
    </c:plotArea>
    <c:legend>
      <c:legendPos val="r"/>
      <c:layout>
        <c:manualLayout>
          <c:xMode val="edge"/>
          <c:yMode val="edge"/>
          <c:x val="0"/>
          <c:y val="0.87877495975986442"/>
          <c:w val="1"/>
          <c:h val="9.8946766269600916E-2"/>
        </c:manualLayout>
      </c:layou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'Cuadro 1'!$B$7</c:f>
              <c:strCache>
                <c:ptCount val="1"/>
                <c:pt idx="0">
                  <c:v>Sector Formal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'Cuadro 1'!$C$5:$K$6</c:f>
              <c:multiLvlStrCache>
                <c:ptCount val="9"/>
                <c:lvl>
                  <c:pt idx="0">
                    <c:v>1992</c:v>
                  </c:pt>
                  <c:pt idx="1">
                    <c:v>1994</c:v>
                  </c:pt>
                  <c:pt idx="2">
                    <c:v>1998</c:v>
                  </c:pt>
                  <c:pt idx="3">
                    <c:v>2001</c:v>
                  </c:pt>
                  <c:pt idx="4">
                    <c:v>2003</c:v>
                  </c:pt>
                  <c:pt idx="5">
                    <c:v>2004</c:v>
                  </c:pt>
                  <c:pt idx="6">
                    <c:v>2007</c:v>
                  </c:pt>
                  <c:pt idx="7">
                    <c:v>2012</c:v>
                  </c:pt>
                  <c:pt idx="8">
                    <c:v>2014</c:v>
                  </c:pt>
                </c:lvl>
                <c:lvl>
                  <c:pt idx="0">
                    <c:v>Convertibilidad</c:v>
                  </c:pt>
                  <c:pt idx="3">
                    <c:v>Pre Crisis</c:v>
                  </c:pt>
                  <c:pt idx="4">
                    <c:v>Post Crisis</c:v>
                  </c:pt>
                  <c:pt idx="5">
                    <c:v>Post convertibilidad</c:v>
                  </c:pt>
                </c:lvl>
              </c:multiLvlStrCache>
            </c:multiLvlStrRef>
          </c:cat>
          <c:val>
            <c:numRef>
              <c:f>'Cuadro 1'!$C$7:$K$7</c:f>
              <c:numCache>
                <c:formatCode>0.0%</c:formatCode>
                <c:ptCount val="9"/>
                <c:pt idx="0">
                  <c:v>0.48881972069858964</c:v>
                </c:pt>
                <c:pt idx="1">
                  <c:v>0.54028162960572002</c:v>
                </c:pt>
                <c:pt idx="2">
                  <c:v>0.55128035883912863</c:v>
                </c:pt>
                <c:pt idx="3">
                  <c:v>0.51964587561179065</c:v>
                </c:pt>
                <c:pt idx="4">
                  <c:v>0.39771403226795554</c:v>
                </c:pt>
                <c:pt idx="5">
                  <c:v>0.46221509458931259</c:v>
                </c:pt>
                <c:pt idx="6">
                  <c:v>0.50173120597279197</c:v>
                </c:pt>
                <c:pt idx="7">
                  <c:v>0.48823038967052584</c:v>
                </c:pt>
                <c:pt idx="8">
                  <c:v>0.48967201145877132</c:v>
                </c:pt>
              </c:numCache>
            </c:numRef>
          </c:val>
          <c:extLst xmlns:c16r2="http://schemas.microsoft.com/office/drawing/2015/06/chart">
            <c:ext xmlns:c16="http://schemas.microsoft.com/office/drawing/2014/chart" uri="{C3380CC4-5D6E-409C-BE32-E72D297353CC}">
              <c16:uniqueId val="{00000000-22A6-49E2-9198-3E1BC8173F01}"/>
            </c:ext>
          </c:extLst>
        </c:ser>
        <c:ser>
          <c:idx val="1"/>
          <c:order val="1"/>
          <c:tx>
            <c:strRef>
              <c:f>'Cuadro 1'!$B$10</c:f>
              <c:strCache>
                <c:ptCount val="1"/>
                <c:pt idx="0">
                  <c:v>Sector público</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'Cuadro 1'!$C$5:$K$6</c:f>
              <c:multiLvlStrCache>
                <c:ptCount val="9"/>
                <c:lvl>
                  <c:pt idx="0">
                    <c:v>1992</c:v>
                  </c:pt>
                  <c:pt idx="1">
                    <c:v>1994</c:v>
                  </c:pt>
                  <c:pt idx="2">
                    <c:v>1998</c:v>
                  </c:pt>
                  <c:pt idx="3">
                    <c:v>2001</c:v>
                  </c:pt>
                  <c:pt idx="4">
                    <c:v>2003</c:v>
                  </c:pt>
                  <c:pt idx="5">
                    <c:v>2004</c:v>
                  </c:pt>
                  <c:pt idx="6">
                    <c:v>2007</c:v>
                  </c:pt>
                  <c:pt idx="7">
                    <c:v>2012</c:v>
                  </c:pt>
                  <c:pt idx="8">
                    <c:v>2014</c:v>
                  </c:pt>
                </c:lvl>
                <c:lvl>
                  <c:pt idx="0">
                    <c:v>Convertibilidad</c:v>
                  </c:pt>
                  <c:pt idx="3">
                    <c:v>Pre Crisis</c:v>
                  </c:pt>
                  <c:pt idx="4">
                    <c:v>Post Crisis</c:v>
                  </c:pt>
                  <c:pt idx="5">
                    <c:v>Post convertibilidad</c:v>
                  </c:pt>
                </c:lvl>
              </c:multiLvlStrCache>
            </c:multiLvlStrRef>
          </c:cat>
          <c:val>
            <c:numRef>
              <c:f>'Cuadro 1'!$C$10:$K$10</c:f>
              <c:numCache>
                <c:formatCode>0.0%</c:formatCode>
                <c:ptCount val="9"/>
                <c:pt idx="0">
                  <c:v>0.10939084089630012</c:v>
                </c:pt>
                <c:pt idx="1">
                  <c:v>7.8123613114581297E-2</c:v>
                </c:pt>
                <c:pt idx="2">
                  <c:v>8.4101439558433536E-2</c:v>
                </c:pt>
                <c:pt idx="3">
                  <c:v>8.3253300803417404E-2</c:v>
                </c:pt>
                <c:pt idx="4">
                  <c:v>8.1124115968402327E-2</c:v>
                </c:pt>
                <c:pt idx="5">
                  <c:v>8.2067219702463015E-2</c:v>
                </c:pt>
                <c:pt idx="6">
                  <c:v>7.5452602654077994E-2</c:v>
                </c:pt>
                <c:pt idx="7">
                  <c:v>0.10066968139278741</c:v>
                </c:pt>
                <c:pt idx="8">
                  <c:v>9.2138549553290608E-2</c:v>
                </c:pt>
              </c:numCache>
            </c:numRef>
          </c:val>
          <c:extLst xmlns:c16r2="http://schemas.microsoft.com/office/drawing/2015/06/chart">
            <c:ext xmlns:c16="http://schemas.microsoft.com/office/drawing/2014/chart" uri="{C3380CC4-5D6E-409C-BE32-E72D297353CC}">
              <c16:uniqueId val="{00000001-22A6-49E2-9198-3E1BC8173F01}"/>
            </c:ext>
          </c:extLst>
        </c:ser>
        <c:ser>
          <c:idx val="2"/>
          <c:order val="2"/>
          <c:tx>
            <c:strRef>
              <c:f>'Cuadro 1'!$B$11</c:f>
              <c:strCache>
                <c:ptCount val="1"/>
                <c:pt idx="0">
                  <c:v>Sector público de asistencia</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'Cuadro 1'!$C$5:$K$6</c:f>
              <c:multiLvlStrCache>
                <c:ptCount val="9"/>
                <c:lvl>
                  <c:pt idx="0">
                    <c:v>1992</c:v>
                  </c:pt>
                  <c:pt idx="1">
                    <c:v>1994</c:v>
                  </c:pt>
                  <c:pt idx="2">
                    <c:v>1998</c:v>
                  </c:pt>
                  <c:pt idx="3">
                    <c:v>2001</c:v>
                  </c:pt>
                  <c:pt idx="4">
                    <c:v>2003</c:v>
                  </c:pt>
                  <c:pt idx="5">
                    <c:v>2004</c:v>
                  </c:pt>
                  <c:pt idx="6">
                    <c:v>2007</c:v>
                  </c:pt>
                  <c:pt idx="7">
                    <c:v>2012</c:v>
                  </c:pt>
                  <c:pt idx="8">
                    <c:v>2014</c:v>
                  </c:pt>
                </c:lvl>
                <c:lvl>
                  <c:pt idx="0">
                    <c:v>Convertibilidad</c:v>
                  </c:pt>
                  <c:pt idx="3">
                    <c:v>Pre Crisis</c:v>
                  </c:pt>
                  <c:pt idx="4">
                    <c:v>Post Crisis</c:v>
                  </c:pt>
                  <c:pt idx="5">
                    <c:v>Post convertibilidad</c:v>
                  </c:pt>
                </c:lvl>
              </c:multiLvlStrCache>
            </c:multiLvlStrRef>
          </c:cat>
          <c:val>
            <c:numRef>
              <c:f>'Cuadro 1'!$C$11:$K$11</c:f>
              <c:numCache>
                <c:formatCode>0.0%</c:formatCode>
                <c:ptCount val="9"/>
                <c:pt idx="0">
                  <c:v>2.1498711947003715E-3</c:v>
                </c:pt>
                <c:pt idx="1">
                  <c:v>0</c:v>
                </c:pt>
                <c:pt idx="2">
                  <c:v>4.0929343325562832E-3</c:v>
                </c:pt>
                <c:pt idx="3">
                  <c:v>1.0962233543289233E-2</c:v>
                </c:pt>
                <c:pt idx="4">
                  <c:v>5.6568039236099724E-2</c:v>
                </c:pt>
                <c:pt idx="5">
                  <c:v>2.5690174894557799E-2</c:v>
                </c:pt>
                <c:pt idx="6">
                  <c:v>4.1342722301689564E-3</c:v>
                </c:pt>
                <c:pt idx="7">
                  <c:v>1.4199279731163872E-3</c:v>
                </c:pt>
                <c:pt idx="8">
                  <c:v>2.2149219270792505E-3</c:v>
                </c:pt>
              </c:numCache>
            </c:numRef>
          </c:val>
          <c:extLst xmlns:c16r2="http://schemas.microsoft.com/office/drawing/2015/06/chart">
            <c:ext xmlns:c16="http://schemas.microsoft.com/office/drawing/2014/chart" uri="{C3380CC4-5D6E-409C-BE32-E72D297353CC}">
              <c16:uniqueId val="{00000002-22A6-49E2-9198-3E1BC8173F01}"/>
            </c:ext>
          </c:extLst>
        </c:ser>
        <c:ser>
          <c:idx val="3"/>
          <c:order val="3"/>
          <c:tx>
            <c:strRef>
              <c:f>'Cuadro 1'!$B$12</c:f>
              <c:strCache>
                <c:ptCount val="1"/>
                <c:pt idx="0">
                  <c:v>Sector Micro Informal</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'Cuadro 1'!$C$5:$K$6</c:f>
              <c:multiLvlStrCache>
                <c:ptCount val="9"/>
                <c:lvl>
                  <c:pt idx="0">
                    <c:v>1992</c:v>
                  </c:pt>
                  <c:pt idx="1">
                    <c:v>1994</c:v>
                  </c:pt>
                  <c:pt idx="2">
                    <c:v>1998</c:v>
                  </c:pt>
                  <c:pt idx="3">
                    <c:v>2001</c:v>
                  </c:pt>
                  <c:pt idx="4">
                    <c:v>2003</c:v>
                  </c:pt>
                  <c:pt idx="5">
                    <c:v>2004</c:v>
                  </c:pt>
                  <c:pt idx="6">
                    <c:v>2007</c:v>
                  </c:pt>
                  <c:pt idx="7">
                    <c:v>2012</c:v>
                  </c:pt>
                  <c:pt idx="8">
                    <c:v>2014</c:v>
                  </c:pt>
                </c:lvl>
                <c:lvl>
                  <c:pt idx="0">
                    <c:v>Convertibilidad</c:v>
                  </c:pt>
                  <c:pt idx="3">
                    <c:v>Pre Crisis</c:v>
                  </c:pt>
                  <c:pt idx="4">
                    <c:v>Post Crisis</c:v>
                  </c:pt>
                  <c:pt idx="5">
                    <c:v>Post convertibilidad</c:v>
                  </c:pt>
                </c:lvl>
              </c:multiLvlStrCache>
            </c:multiLvlStrRef>
          </c:cat>
          <c:val>
            <c:numRef>
              <c:f>'Cuadro 1'!$C$12:$K$12</c:f>
              <c:numCache>
                <c:formatCode>0.0%</c:formatCode>
                <c:ptCount val="9"/>
                <c:pt idx="0">
                  <c:v>0.39963956721040994</c:v>
                </c:pt>
                <c:pt idx="1">
                  <c:v>0.38159475727969866</c:v>
                </c:pt>
                <c:pt idx="2">
                  <c:v>0.36052526726988154</c:v>
                </c:pt>
                <c:pt idx="3">
                  <c:v>0.3861385900415028</c:v>
                </c:pt>
                <c:pt idx="4">
                  <c:v>0.46459381252754245</c:v>
                </c:pt>
                <c:pt idx="5">
                  <c:v>0.43002751081366658</c:v>
                </c:pt>
                <c:pt idx="6">
                  <c:v>0.4186819191429611</c:v>
                </c:pt>
                <c:pt idx="7">
                  <c:v>0.40968000096357032</c:v>
                </c:pt>
                <c:pt idx="8">
                  <c:v>0.41597451706085886</c:v>
                </c:pt>
              </c:numCache>
            </c:numRef>
          </c:val>
          <c:extLst xmlns:c16r2="http://schemas.microsoft.com/office/drawing/2015/06/chart">
            <c:ext xmlns:c16="http://schemas.microsoft.com/office/drawing/2014/chart" uri="{C3380CC4-5D6E-409C-BE32-E72D297353CC}">
              <c16:uniqueId val="{00000003-22A6-49E2-9198-3E1BC8173F01}"/>
            </c:ext>
          </c:extLst>
        </c:ser>
        <c:dLbls>
          <c:dLblPos val="ctr"/>
          <c:showLegendKey val="0"/>
          <c:showVal val="1"/>
          <c:showCatName val="0"/>
          <c:showSerName val="0"/>
          <c:showPercent val="0"/>
          <c:showBubbleSize val="0"/>
        </c:dLbls>
        <c:gapWidth val="150"/>
        <c:overlap val="100"/>
        <c:axId val="91718400"/>
        <c:axId val="91719936"/>
      </c:barChart>
      <c:catAx>
        <c:axId val="9171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91719936"/>
        <c:crosses val="autoZero"/>
        <c:auto val="1"/>
        <c:lblAlgn val="ctr"/>
        <c:lblOffset val="100"/>
        <c:noMultiLvlLbl val="0"/>
      </c:catAx>
      <c:valAx>
        <c:axId val="91719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9171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55913119555708E-2"/>
          <c:y val="2.2711639141602381E-2"/>
          <c:w val="0.91544086880444298"/>
          <c:h val="0.67241997147616817"/>
        </c:manualLayout>
      </c:layout>
      <c:barChart>
        <c:barDir val="col"/>
        <c:grouping val="percentStacked"/>
        <c:varyColors val="0"/>
        <c:ser>
          <c:idx val="0"/>
          <c:order val="0"/>
          <c:tx>
            <c:strRef>
              <c:f>'Cuadro 1'!$B$28</c:f>
              <c:strCache>
                <c:ptCount val="1"/>
                <c:pt idx="0">
                  <c:v>Asalariados formales privados y públicos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'Cuadro 1'!$C$26:$K$27</c:f>
              <c:multiLvlStrCache>
                <c:ptCount val="9"/>
                <c:lvl>
                  <c:pt idx="0">
                    <c:v>1992</c:v>
                  </c:pt>
                  <c:pt idx="1">
                    <c:v>1994</c:v>
                  </c:pt>
                  <c:pt idx="2">
                    <c:v>1998</c:v>
                  </c:pt>
                  <c:pt idx="3">
                    <c:v>2001</c:v>
                  </c:pt>
                  <c:pt idx="4">
                    <c:v>2003</c:v>
                  </c:pt>
                  <c:pt idx="5">
                    <c:v>2004</c:v>
                  </c:pt>
                  <c:pt idx="6">
                    <c:v>2007</c:v>
                  </c:pt>
                  <c:pt idx="7">
                    <c:v>2012</c:v>
                  </c:pt>
                  <c:pt idx="8">
                    <c:v>2014</c:v>
                  </c:pt>
                </c:lvl>
                <c:lvl>
                  <c:pt idx="0">
                    <c:v>Convertibilidad</c:v>
                  </c:pt>
                  <c:pt idx="3">
                    <c:v>Pre-Crisis</c:v>
                  </c:pt>
                  <c:pt idx="4">
                    <c:v>Post-Crisis</c:v>
                  </c:pt>
                  <c:pt idx="5">
                    <c:v>Post convertibilidad</c:v>
                  </c:pt>
                </c:lvl>
              </c:multiLvlStrCache>
            </c:multiLvlStrRef>
          </c:cat>
          <c:val>
            <c:numRef>
              <c:f>'Cuadro 1'!$C$28:$K$28</c:f>
              <c:numCache>
                <c:formatCode>0.0%</c:formatCode>
                <c:ptCount val="9"/>
                <c:pt idx="0">
                  <c:v>0.6104529526764092</c:v>
                </c:pt>
                <c:pt idx="1">
                  <c:v>0.61378196069342572</c:v>
                </c:pt>
                <c:pt idx="2">
                  <c:v>0.64293052345632296</c:v>
                </c:pt>
                <c:pt idx="3">
                  <c:v>0.61479814217586581</c:v>
                </c:pt>
                <c:pt idx="4">
                  <c:v>0.52189489026527724</c:v>
                </c:pt>
                <c:pt idx="5">
                  <c:v>0.55603563240423226</c:v>
                </c:pt>
                <c:pt idx="6">
                  <c:v>0.57156330000958866</c:v>
                </c:pt>
                <c:pt idx="7">
                  <c:v>0.58715493809729646</c:v>
                </c:pt>
                <c:pt idx="8">
                  <c:v>0.57649125011903823</c:v>
                </c:pt>
              </c:numCache>
            </c:numRef>
          </c:val>
          <c:extLst xmlns:c16r2="http://schemas.microsoft.com/office/drawing/2015/06/chart">
            <c:ext xmlns:c16="http://schemas.microsoft.com/office/drawing/2014/chart" uri="{C3380CC4-5D6E-409C-BE32-E72D297353CC}">
              <c16:uniqueId val="{00000000-64A0-4757-9885-38B6111A83B7}"/>
            </c:ext>
          </c:extLst>
        </c:ser>
        <c:ser>
          <c:idx val="1"/>
          <c:order val="1"/>
          <c:tx>
            <c:strRef>
              <c:f>'Cuadro 1'!$B$29</c:f>
              <c:strCache>
                <c:ptCount val="1"/>
                <c:pt idx="0">
                  <c:v>No asalariados formales privados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'Cuadro 1'!$C$26:$K$27</c:f>
              <c:multiLvlStrCache>
                <c:ptCount val="9"/>
                <c:lvl>
                  <c:pt idx="0">
                    <c:v>1992</c:v>
                  </c:pt>
                  <c:pt idx="1">
                    <c:v>1994</c:v>
                  </c:pt>
                  <c:pt idx="2">
                    <c:v>1998</c:v>
                  </c:pt>
                  <c:pt idx="3">
                    <c:v>2001</c:v>
                  </c:pt>
                  <c:pt idx="4">
                    <c:v>2003</c:v>
                  </c:pt>
                  <c:pt idx="5">
                    <c:v>2004</c:v>
                  </c:pt>
                  <c:pt idx="6">
                    <c:v>2007</c:v>
                  </c:pt>
                  <c:pt idx="7">
                    <c:v>2012</c:v>
                  </c:pt>
                  <c:pt idx="8">
                    <c:v>2014</c:v>
                  </c:pt>
                </c:lvl>
                <c:lvl>
                  <c:pt idx="0">
                    <c:v>Convertibilidad</c:v>
                  </c:pt>
                  <c:pt idx="3">
                    <c:v>Pre-Crisis</c:v>
                  </c:pt>
                  <c:pt idx="4">
                    <c:v>Post-Crisis</c:v>
                  </c:pt>
                  <c:pt idx="5">
                    <c:v>Post convertibilidad</c:v>
                  </c:pt>
                </c:lvl>
              </c:multiLvlStrCache>
            </c:multiLvlStrRef>
          </c:cat>
          <c:val>
            <c:numRef>
              <c:f>'Cuadro 1'!$C$29:$K$29</c:f>
              <c:numCache>
                <c:formatCode>0.0%</c:formatCode>
                <c:ptCount val="9"/>
                <c:pt idx="0">
                  <c:v>1.8191892629619365E-2</c:v>
                </c:pt>
                <c:pt idx="1">
                  <c:v>3.0004003274508289E-2</c:v>
                </c:pt>
                <c:pt idx="2">
                  <c:v>1.2885623814405384E-2</c:v>
                </c:pt>
                <c:pt idx="3">
                  <c:v>1.3483448037593108E-2</c:v>
                </c:pt>
                <c:pt idx="4">
                  <c:v>1.3511297207180355E-2</c:v>
                </c:pt>
                <c:pt idx="5">
                  <c:v>1.3936856782101123E-2</c:v>
                </c:pt>
                <c:pt idx="6">
                  <c:v>9.7547808474502812E-3</c:v>
                </c:pt>
                <c:pt idx="7">
                  <c:v>3.1650609391331345E-3</c:v>
                </c:pt>
                <c:pt idx="8">
                  <c:v>7.5342328201028624E-3</c:v>
                </c:pt>
              </c:numCache>
            </c:numRef>
          </c:val>
          <c:extLst xmlns:c16r2="http://schemas.microsoft.com/office/drawing/2015/06/chart">
            <c:ext xmlns:c16="http://schemas.microsoft.com/office/drawing/2014/chart" uri="{C3380CC4-5D6E-409C-BE32-E72D297353CC}">
              <c16:uniqueId val="{00000001-64A0-4757-9885-38B6111A83B7}"/>
            </c:ext>
          </c:extLst>
        </c:ser>
        <c:ser>
          <c:idx val="2"/>
          <c:order val="2"/>
          <c:tx>
            <c:strRef>
              <c:f>'Cuadro 1'!$B$30</c:f>
              <c:strCache>
                <c:ptCount val="1"/>
                <c:pt idx="0">
                  <c:v>Asalariados informales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'Cuadro 1'!$C$26:$K$27</c:f>
              <c:multiLvlStrCache>
                <c:ptCount val="9"/>
                <c:lvl>
                  <c:pt idx="0">
                    <c:v>1992</c:v>
                  </c:pt>
                  <c:pt idx="1">
                    <c:v>1994</c:v>
                  </c:pt>
                  <c:pt idx="2">
                    <c:v>1998</c:v>
                  </c:pt>
                  <c:pt idx="3">
                    <c:v>2001</c:v>
                  </c:pt>
                  <c:pt idx="4">
                    <c:v>2003</c:v>
                  </c:pt>
                  <c:pt idx="5">
                    <c:v>2004</c:v>
                  </c:pt>
                  <c:pt idx="6">
                    <c:v>2007</c:v>
                  </c:pt>
                  <c:pt idx="7">
                    <c:v>2012</c:v>
                  </c:pt>
                  <c:pt idx="8">
                    <c:v>2014</c:v>
                  </c:pt>
                </c:lvl>
                <c:lvl>
                  <c:pt idx="0">
                    <c:v>Convertibilidad</c:v>
                  </c:pt>
                  <c:pt idx="3">
                    <c:v>Pre-Crisis</c:v>
                  </c:pt>
                  <c:pt idx="4">
                    <c:v>Post-Crisis</c:v>
                  </c:pt>
                  <c:pt idx="5">
                    <c:v>Post convertibilidad</c:v>
                  </c:pt>
                </c:lvl>
              </c:multiLvlStrCache>
            </c:multiLvlStrRef>
          </c:cat>
          <c:val>
            <c:numRef>
              <c:f>'Cuadro 1'!$C$30:$K$30</c:f>
              <c:numCache>
                <c:formatCode>0.0%</c:formatCode>
                <c:ptCount val="9"/>
                <c:pt idx="0">
                  <c:v>0.19249958268041859</c:v>
                </c:pt>
                <c:pt idx="1">
                  <c:v>0.18622936842325263</c:v>
                </c:pt>
                <c:pt idx="2">
                  <c:v>0.20345219489133043</c:v>
                </c:pt>
                <c:pt idx="3">
                  <c:v>0.20411351704156883</c:v>
                </c:pt>
                <c:pt idx="4">
                  <c:v>0.29022049626991792</c:v>
                </c:pt>
                <c:pt idx="5">
                  <c:v>0.27233590887665426</c:v>
                </c:pt>
                <c:pt idx="6">
                  <c:v>0.26879534071788569</c:v>
                </c:pt>
                <c:pt idx="7">
                  <c:v>0.27519100774737326</c:v>
                </c:pt>
                <c:pt idx="8">
                  <c:v>0.27215877472514305</c:v>
                </c:pt>
              </c:numCache>
            </c:numRef>
          </c:val>
          <c:extLst xmlns:c16r2="http://schemas.microsoft.com/office/drawing/2015/06/chart">
            <c:ext xmlns:c16="http://schemas.microsoft.com/office/drawing/2014/chart" uri="{C3380CC4-5D6E-409C-BE32-E72D297353CC}">
              <c16:uniqueId val="{00000002-64A0-4757-9885-38B6111A83B7}"/>
            </c:ext>
          </c:extLst>
        </c:ser>
        <c:ser>
          <c:idx val="3"/>
          <c:order val="3"/>
          <c:tx>
            <c:strRef>
              <c:f>'Cuadro 1'!$B$31</c:f>
              <c:strCache>
                <c:ptCount val="1"/>
                <c:pt idx="0">
                  <c:v>No asalariados informales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'Cuadro 1'!$C$26:$K$27</c:f>
              <c:multiLvlStrCache>
                <c:ptCount val="9"/>
                <c:lvl>
                  <c:pt idx="0">
                    <c:v>1992</c:v>
                  </c:pt>
                  <c:pt idx="1">
                    <c:v>1994</c:v>
                  </c:pt>
                  <c:pt idx="2">
                    <c:v>1998</c:v>
                  </c:pt>
                  <c:pt idx="3">
                    <c:v>2001</c:v>
                  </c:pt>
                  <c:pt idx="4">
                    <c:v>2003</c:v>
                  </c:pt>
                  <c:pt idx="5">
                    <c:v>2004</c:v>
                  </c:pt>
                  <c:pt idx="6">
                    <c:v>2007</c:v>
                  </c:pt>
                  <c:pt idx="7">
                    <c:v>2012</c:v>
                  </c:pt>
                  <c:pt idx="8">
                    <c:v>2014</c:v>
                  </c:pt>
                </c:lvl>
                <c:lvl>
                  <c:pt idx="0">
                    <c:v>Convertibilidad</c:v>
                  </c:pt>
                  <c:pt idx="3">
                    <c:v>Pre-Crisis</c:v>
                  </c:pt>
                  <c:pt idx="4">
                    <c:v>Post-Crisis</c:v>
                  </c:pt>
                  <c:pt idx="5">
                    <c:v>Post convertibilidad</c:v>
                  </c:pt>
                </c:lvl>
              </c:multiLvlStrCache>
            </c:multiLvlStrRef>
          </c:cat>
          <c:val>
            <c:numRef>
              <c:f>'Cuadro 1'!$C$31:$K$31</c:f>
              <c:numCache>
                <c:formatCode>0.0%</c:formatCode>
                <c:ptCount val="9"/>
                <c:pt idx="0">
                  <c:v>0.22338210299728392</c:v>
                </c:pt>
                <c:pt idx="1">
                  <c:v>0.20672130396526775</c:v>
                </c:pt>
                <c:pt idx="2">
                  <c:v>0.16745994963974029</c:v>
                </c:pt>
                <c:pt idx="3">
                  <c:v>0.19096151908233308</c:v>
                </c:pt>
                <c:pt idx="4">
                  <c:v>0.17334363960746788</c:v>
                </c:pt>
                <c:pt idx="5">
                  <c:v>0.15769160193701232</c:v>
                </c:pt>
                <c:pt idx="6">
                  <c:v>0.14988657842507544</c:v>
                </c:pt>
                <c:pt idx="7">
                  <c:v>0.13448899321619709</c:v>
                </c:pt>
                <c:pt idx="8">
                  <c:v>0.14381574233571584</c:v>
                </c:pt>
              </c:numCache>
            </c:numRef>
          </c:val>
          <c:extLst xmlns:c16r2="http://schemas.microsoft.com/office/drawing/2015/06/chart">
            <c:ext xmlns:c16="http://schemas.microsoft.com/office/drawing/2014/chart" uri="{C3380CC4-5D6E-409C-BE32-E72D297353CC}">
              <c16:uniqueId val="{00000003-64A0-4757-9885-38B6111A83B7}"/>
            </c:ext>
          </c:extLst>
        </c:ser>
        <c:dLbls>
          <c:dLblPos val="ctr"/>
          <c:showLegendKey val="0"/>
          <c:showVal val="1"/>
          <c:showCatName val="0"/>
          <c:showSerName val="0"/>
          <c:showPercent val="0"/>
          <c:showBubbleSize val="0"/>
        </c:dLbls>
        <c:gapWidth val="150"/>
        <c:overlap val="100"/>
        <c:axId val="112936064"/>
        <c:axId val="112937600"/>
      </c:barChart>
      <c:catAx>
        <c:axId val="1129360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12937600"/>
        <c:crosses val="autoZero"/>
        <c:auto val="1"/>
        <c:lblAlgn val="ctr"/>
        <c:lblOffset val="100"/>
        <c:noMultiLvlLbl val="0"/>
      </c:catAx>
      <c:valAx>
        <c:axId val="112937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12936064"/>
        <c:crosses val="autoZero"/>
        <c:crossBetween val="between"/>
      </c:valAx>
      <c:spPr>
        <a:noFill/>
        <a:ln>
          <a:noFill/>
        </a:ln>
        <a:effectLst/>
      </c:spPr>
    </c:plotArea>
    <c:legend>
      <c:legendPos val="b"/>
      <c:layout>
        <c:manualLayout>
          <c:xMode val="edge"/>
          <c:yMode val="edge"/>
          <c:x val="7.3332952946099216E-3"/>
          <c:y val="0.90846844499047552"/>
          <c:w val="0.98989339738825399"/>
          <c:h val="9.1531555009524534E-2"/>
        </c:manualLayout>
      </c:layout>
      <c:overlay val="0"/>
      <c:spPr>
        <a:noFill/>
        <a:ln>
          <a:noFill/>
        </a:ln>
        <a:effectLst/>
      </c:spPr>
      <c:txPr>
        <a:bodyPr rot="0" spcFirstLastPara="1" vertOverflow="ellipsis" vert="horz" wrap="square" anchor="ctr" anchorCtr="1"/>
        <a:lstStyle/>
        <a:p>
          <a:pPr algn="just">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000" b="1">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333C9-1B44-415E-BA62-4EF06430D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12251</Words>
  <Characters>67382</Characters>
  <Application>Microsoft Office Word</Application>
  <DocSecurity>0</DocSecurity>
  <Lines>561</Lines>
  <Paragraphs>158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 Rubio</dc:creator>
  <cp:keywords/>
  <dc:description/>
  <cp:lastModifiedBy>Berenice Rubio</cp:lastModifiedBy>
  <cp:revision>5</cp:revision>
  <dcterms:created xsi:type="dcterms:W3CDTF">2017-04-10T19:02:00Z</dcterms:created>
  <dcterms:modified xsi:type="dcterms:W3CDTF">2017-04-17T15:43:00Z</dcterms:modified>
</cp:coreProperties>
</file>